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8DB864" w14:textId="77777777" w:rsidR="00D51F63" w:rsidRDefault="00D51F63">
      <w:pPr>
        <w:pBdr>
          <w:top w:val="nil"/>
          <w:left w:val="nil"/>
          <w:bottom w:val="nil"/>
          <w:right w:val="nil"/>
          <w:between w:val="nil"/>
        </w:pBdr>
        <w:jc w:val="center"/>
        <w:rPr>
          <w:rFonts w:ascii="Arial" w:eastAsia="Arial" w:hAnsi="Arial" w:cs="Arial"/>
          <w:b/>
          <w:color w:val="0070C0"/>
          <w:sz w:val="22"/>
          <w:szCs w:val="22"/>
          <w:u w:val="single"/>
        </w:rPr>
      </w:pPr>
    </w:p>
    <w:p w14:paraId="62E779F1" w14:textId="77777777" w:rsidR="00D51F63" w:rsidRDefault="00B267F0">
      <w:pPr>
        <w:pBdr>
          <w:top w:val="nil"/>
          <w:left w:val="nil"/>
          <w:bottom w:val="nil"/>
          <w:right w:val="nil"/>
          <w:between w:val="nil"/>
        </w:pBdr>
        <w:jc w:val="center"/>
        <w:rPr>
          <w:rFonts w:ascii="Arial" w:eastAsia="Arial" w:hAnsi="Arial" w:cs="Arial"/>
          <w:b/>
          <w:color w:val="0070C0"/>
        </w:rPr>
      </w:pPr>
      <w:r>
        <w:rPr>
          <w:rFonts w:ascii="Arial" w:eastAsia="Arial" w:hAnsi="Arial" w:cs="Arial"/>
          <w:b/>
          <w:color w:val="0070C0"/>
          <w:u w:val="single"/>
        </w:rPr>
        <w:t>Informe de InfoJobs sobre las Perspectivas de Contratación de las Empresas</w:t>
      </w:r>
    </w:p>
    <w:p w14:paraId="653DF36E" w14:textId="77777777" w:rsidR="00D51F63" w:rsidRDefault="00D51F63">
      <w:pPr>
        <w:pBdr>
          <w:top w:val="nil"/>
          <w:left w:val="nil"/>
          <w:bottom w:val="nil"/>
          <w:right w:val="nil"/>
          <w:between w:val="nil"/>
        </w:pBdr>
        <w:jc w:val="center"/>
        <w:rPr>
          <w:rFonts w:ascii="Arial" w:eastAsia="Arial" w:hAnsi="Arial" w:cs="Arial"/>
          <w:b/>
          <w:color w:val="0070C0"/>
          <w:sz w:val="22"/>
          <w:szCs w:val="22"/>
          <w:u w:val="single"/>
        </w:rPr>
      </w:pPr>
    </w:p>
    <w:p w14:paraId="14B0BDD9" w14:textId="77777777" w:rsidR="00D51F63" w:rsidRDefault="00B267F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70C0"/>
          <w:sz w:val="35"/>
          <w:szCs w:val="35"/>
        </w:rPr>
      </w:pPr>
      <w:r>
        <w:rPr>
          <w:rFonts w:ascii="Arial" w:eastAsia="Arial" w:hAnsi="Arial" w:cs="Arial"/>
          <w:b/>
          <w:color w:val="0070C0"/>
          <w:sz w:val="35"/>
          <w:szCs w:val="35"/>
        </w:rPr>
        <w:t>Las perspectivas de empleo de las empresas avanzan al ritmo de la recuperación económica: 1 de cada 3 compañías incrementará la contratación en 2022</w:t>
      </w:r>
    </w:p>
    <w:p w14:paraId="5B6FDD1C" w14:textId="77777777" w:rsidR="00D51F63" w:rsidRDefault="00D51F6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70C0"/>
          <w:sz w:val="35"/>
          <w:szCs w:val="35"/>
        </w:rPr>
      </w:pPr>
    </w:p>
    <w:p w14:paraId="6D826C9C" w14:textId="77777777" w:rsidR="00D51F63" w:rsidRDefault="00B267F0">
      <w:pPr>
        <w:numPr>
          <w:ilvl w:val="0"/>
          <w:numId w:val="1"/>
        </w:numPr>
        <w:pBdr>
          <w:top w:val="nil"/>
          <w:left w:val="nil"/>
          <w:bottom w:val="nil"/>
          <w:right w:val="nil"/>
          <w:between w:val="nil"/>
        </w:pBdr>
        <w:spacing w:line="252" w:lineRule="auto"/>
        <w:jc w:val="both"/>
        <w:rPr>
          <w:rFonts w:ascii="Arial" w:eastAsia="Arial" w:hAnsi="Arial" w:cs="Arial"/>
          <w:color w:val="0070C0"/>
          <w:sz w:val="20"/>
          <w:szCs w:val="20"/>
        </w:rPr>
      </w:pPr>
      <w:r>
        <w:rPr>
          <w:rFonts w:ascii="Arial" w:eastAsia="Arial" w:hAnsi="Arial" w:cs="Arial"/>
          <w:color w:val="0070C0"/>
          <w:sz w:val="20"/>
          <w:szCs w:val="20"/>
        </w:rPr>
        <w:t xml:space="preserve">El 54% de las empresas indica que aumentará la contratación en el plazo de dos años; una previsión que no </w:t>
      </w:r>
      <w:r>
        <w:rPr>
          <w:rFonts w:ascii="Arial" w:eastAsia="Arial" w:hAnsi="Arial" w:cs="Arial"/>
          <w:color w:val="0070C0"/>
          <w:sz w:val="20"/>
          <w:szCs w:val="20"/>
        </w:rPr>
        <w:t>se recogía en este informe desde 2018</w:t>
      </w:r>
    </w:p>
    <w:p w14:paraId="3F8D9D06" w14:textId="77777777" w:rsidR="00D51F63" w:rsidRDefault="00B267F0">
      <w:pPr>
        <w:numPr>
          <w:ilvl w:val="0"/>
          <w:numId w:val="1"/>
        </w:numPr>
        <w:pBdr>
          <w:top w:val="nil"/>
          <w:left w:val="nil"/>
          <w:bottom w:val="nil"/>
          <w:right w:val="nil"/>
          <w:between w:val="nil"/>
        </w:pBdr>
        <w:spacing w:line="252" w:lineRule="auto"/>
        <w:jc w:val="both"/>
        <w:rPr>
          <w:rFonts w:ascii="Arial" w:eastAsia="Arial" w:hAnsi="Arial" w:cs="Arial"/>
          <w:color w:val="0070C0"/>
          <w:sz w:val="20"/>
          <w:szCs w:val="20"/>
        </w:rPr>
      </w:pPr>
      <w:r>
        <w:rPr>
          <w:rFonts w:ascii="Arial" w:eastAsia="Arial" w:hAnsi="Arial" w:cs="Arial"/>
          <w:color w:val="0070C0"/>
          <w:sz w:val="20"/>
          <w:szCs w:val="20"/>
        </w:rPr>
        <w:t>Las empresas tecnológicas liderarán la creación de empleo a corto, medio y largo plazo, con profesiones como Desarrollador/a de Software a la cabeza</w:t>
      </w:r>
    </w:p>
    <w:p w14:paraId="36CDCEDD" w14:textId="77777777" w:rsidR="00D51F63" w:rsidRDefault="00D51F63">
      <w:pPr>
        <w:pBdr>
          <w:top w:val="nil"/>
          <w:left w:val="nil"/>
          <w:bottom w:val="nil"/>
          <w:right w:val="nil"/>
          <w:between w:val="nil"/>
        </w:pBdr>
        <w:spacing w:line="252" w:lineRule="auto"/>
        <w:ind w:left="720"/>
        <w:jc w:val="both"/>
        <w:rPr>
          <w:rFonts w:ascii="Arial" w:eastAsia="Arial" w:hAnsi="Arial" w:cs="Arial"/>
          <w:color w:val="0070C0"/>
          <w:sz w:val="20"/>
          <w:szCs w:val="20"/>
        </w:rPr>
      </w:pPr>
    </w:p>
    <w:p w14:paraId="1085CC67" w14:textId="77777777" w:rsidR="00D51F63" w:rsidRDefault="00B267F0">
      <w:pPr>
        <w:spacing w:line="276" w:lineRule="auto"/>
        <w:jc w:val="both"/>
        <w:rPr>
          <w:rFonts w:ascii="Arial" w:eastAsia="Arial" w:hAnsi="Arial" w:cs="Arial"/>
          <w:b/>
          <w:sz w:val="20"/>
          <w:szCs w:val="20"/>
        </w:rPr>
      </w:pPr>
      <w:r>
        <w:rPr>
          <w:rFonts w:ascii="Arial" w:eastAsia="Arial" w:hAnsi="Arial" w:cs="Arial"/>
          <w:b/>
          <w:sz w:val="20"/>
          <w:szCs w:val="20"/>
        </w:rPr>
        <w:t>Madrid, 6 de septiembre de 2021</w:t>
      </w:r>
      <w:r>
        <w:rPr>
          <w:b/>
        </w:rPr>
        <w:t xml:space="preserve"> – </w:t>
      </w:r>
      <w:r>
        <w:rPr>
          <w:rFonts w:ascii="Arial" w:eastAsia="Arial" w:hAnsi="Arial" w:cs="Arial"/>
          <w:sz w:val="20"/>
          <w:szCs w:val="20"/>
        </w:rPr>
        <w:t>A medida que avanza la pandemia, las previsiones de recuperación de la economía española mejoran también. La semana pasada, el Fondo Monetario Internacional (FMI) aumentó en 1,1 puntos sus perspectivas de crecimiento para España durante el 2022 (del 4,7% a</w:t>
      </w:r>
      <w:r>
        <w:rPr>
          <w:rFonts w:ascii="Arial" w:eastAsia="Arial" w:hAnsi="Arial" w:cs="Arial"/>
          <w:sz w:val="20"/>
          <w:szCs w:val="20"/>
        </w:rPr>
        <w:t xml:space="preserve">l 5,8%), aunque si bien es cierto que rebajó en dos décimas sus previsiones para el actual 2021, hasta el 6,2%. Esta misma línea ascendente es la que parece seguir el empleo nacional, tal y como arrojan los datos del </w:t>
      </w:r>
      <w:r>
        <w:rPr>
          <w:rFonts w:ascii="Arial" w:eastAsia="Arial" w:hAnsi="Arial" w:cs="Arial"/>
          <w:b/>
          <w:sz w:val="20"/>
          <w:szCs w:val="20"/>
        </w:rPr>
        <w:t>Informe de InfoJobs sobre las Perspecti</w:t>
      </w:r>
      <w:r>
        <w:rPr>
          <w:rFonts w:ascii="Arial" w:eastAsia="Arial" w:hAnsi="Arial" w:cs="Arial"/>
          <w:b/>
          <w:sz w:val="20"/>
          <w:szCs w:val="20"/>
        </w:rPr>
        <w:t>vas de Contratación de las Empresas.</w:t>
      </w:r>
    </w:p>
    <w:p w14:paraId="77FF5645" w14:textId="77777777" w:rsidR="00D51F63" w:rsidRDefault="00D51F63">
      <w:pPr>
        <w:spacing w:line="276" w:lineRule="auto"/>
        <w:jc w:val="both"/>
        <w:rPr>
          <w:rFonts w:ascii="Arial" w:eastAsia="Arial" w:hAnsi="Arial" w:cs="Arial"/>
          <w:b/>
          <w:sz w:val="20"/>
          <w:szCs w:val="20"/>
        </w:rPr>
      </w:pPr>
    </w:p>
    <w:p w14:paraId="199D8084" w14:textId="77777777" w:rsidR="00D51F63" w:rsidRDefault="00B267F0">
      <w:pPr>
        <w:spacing w:line="276" w:lineRule="auto"/>
        <w:jc w:val="both"/>
        <w:rPr>
          <w:rFonts w:ascii="Arial" w:eastAsia="Arial" w:hAnsi="Arial" w:cs="Arial"/>
          <w:sz w:val="20"/>
          <w:szCs w:val="20"/>
        </w:rPr>
      </w:pPr>
      <w:r>
        <w:rPr>
          <w:rFonts w:ascii="Arial" w:eastAsia="Arial" w:hAnsi="Arial" w:cs="Arial"/>
          <w:sz w:val="20"/>
          <w:szCs w:val="20"/>
        </w:rPr>
        <w:t xml:space="preserve">Según los datos de este estudio, </w:t>
      </w:r>
      <w:r>
        <w:rPr>
          <w:rFonts w:ascii="Arial" w:eastAsia="Arial" w:hAnsi="Arial" w:cs="Arial"/>
          <w:b/>
          <w:sz w:val="20"/>
          <w:szCs w:val="20"/>
        </w:rPr>
        <w:t>1 de cada 3 compañías en España (32%) prevé incrementar la contratación laboral a lo largo del año que viene</w:t>
      </w:r>
      <w:r>
        <w:rPr>
          <w:rFonts w:ascii="Arial" w:eastAsia="Arial" w:hAnsi="Arial" w:cs="Arial"/>
          <w:sz w:val="20"/>
          <w:szCs w:val="20"/>
        </w:rPr>
        <w:t>, frente al 25% que afirma que lo hará de aquí a final de año. Además, el 54% de las empresas indica que aumentará la contratación en el plazo de do</w:t>
      </w:r>
      <w:r>
        <w:rPr>
          <w:rFonts w:ascii="Arial" w:eastAsia="Arial" w:hAnsi="Arial" w:cs="Arial"/>
          <w:sz w:val="20"/>
          <w:szCs w:val="20"/>
        </w:rPr>
        <w:t>s años; una previsión que no recogían los datos de este informe desde 2018.</w:t>
      </w:r>
    </w:p>
    <w:p w14:paraId="4A580DB6" w14:textId="77777777" w:rsidR="00D51F63" w:rsidRDefault="00D51F63">
      <w:pPr>
        <w:spacing w:line="276" w:lineRule="auto"/>
        <w:jc w:val="both"/>
        <w:rPr>
          <w:rFonts w:ascii="Arial" w:eastAsia="Arial" w:hAnsi="Arial" w:cs="Arial"/>
          <w:sz w:val="20"/>
          <w:szCs w:val="20"/>
        </w:rPr>
      </w:pPr>
    </w:p>
    <w:p w14:paraId="2F12DD14" w14:textId="77777777" w:rsidR="00D51F63" w:rsidRDefault="00B267F0">
      <w:pPr>
        <w:spacing w:line="276" w:lineRule="auto"/>
        <w:jc w:val="both"/>
        <w:rPr>
          <w:rFonts w:ascii="Arial" w:eastAsia="Arial" w:hAnsi="Arial" w:cs="Arial"/>
          <w:sz w:val="20"/>
          <w:szCs w:val="20"/>
        </w:rPr>
      </w:pPr>
      <w:r>
        <w:rPr>
          <w:rFonts w:ascii="Arial" w:eastAsia="Arial" w:hAnsi="Arial" w:cs="Arial"/>
          <w:sz w:val="20"/>
          <w:szCs w:val="20"/>
        </w:rPr>
        <w:t>En lo que se refiere a la percepción de las empresas sobre la situación del empleo en España, estas se muestran más pesimistas en el corto plazo (solo el 7% piensa que el empleo m</w:t>
      </w:r>
      <w:r>
        <w:rPr>
          <w:rFonts w:ascii="Arial" w:eastAsia="Arial" w:hAnsi="Arial" w:cs="Arial"/>
          <w:sz w:val="20"/>
          <w:szCs w:val="20"/>
        </w:rPr>
        <w:t>ejorará hasta final de año), pero más optimistas en el largo (el 66% sostiene que el mercado laboral mejorará a partir de 2023).</w:t>
      </w:r>
    </w:p>
    <w:p w14:paraId="01B81991" w14:textId="77777777" w:rsidR="00D51F63" w:rsidRDefault="00D51F63">
      <w:pPr>
        <w:spacing w:line="276" w:lineRule="auto"/>
        <w:jc w:val="both"/>
        <w:rPr>
          <w:rFonts w:ascii="Arial" w:eastAsia="Arial" w:hAnsi="Arial" w:cs="Arial"/>
          <w:sz w:val="20"/>
          <w:szCs w:val="20"/>
        </w:rPr>
      </w:pPr>
    </w:p>
    <w:p w14:paraId="0EB9863A" w14:textId="3BAADAD4" w:rsidR="00D51F63" w:rsidRDefault="00B267F0">
      <w:pPr>
        <w:spacing w:line="276" w:lineRule="auto"/>
        <w:jc w:val="both"/>
        <w:rPr>
          <w:rFonts w:ascii="Arial" w:eastAsia="Arial" w:hAnsi="Arial" w:cs="Arial"/>
          <w:sz w:val="20"/>
          <w:szCs w:val="20"/>
        </w:rPr>
      </w:pPr>
      <w:r>
        <w:rPr>
          <w:rFonts w:ascii="Arial" w:eastAsia="Arial" w:hAnsi="Arial" w:cs="Arial"/>
          <w:i/>
          <w:sz w:val="20"/>
          <w:szCs w:val="20"/>
        </w:rPr>
        <w:t>“Ahora más que nunca, el mercado laboral español debe afrontar retos y desafíos que, si bien ya se contemplaban años atrás, en</w:t>
      </w:r>
      <w:r>
        <w:rPr>
          <w:rFonts w:ascii="Arial" w:eastAsia="Arial" w:hAnsi="Arial" w:cs="Arial"/>
          <w:i/>
          <w:sz w:val="20"/>
          <w:szCs w:val="20"/>
        </w:rPr>
        <w:t xml:space="preserve"> las actuales circunstancias resultan vitales para la recuperación del empleo”</w:t>
      </w:r>
      <w:r>
        <w:rPr>
          <w:rFonts w:ascii="Arial" w:eastAsia="Arial" w:hAnsi="Arial" w:cs="Arial"/>
          <w:sz w:val="20"/>
          <w:szCs w:val="20"/>
        </w:rPr>
        <w:t xml:space="preserve">, señala </w:t>
      </w:r>
      <w:r>
        <w:rPr>
          <w:rFonts w:ascii="Arial" w:eastAsia="Arial" w:hAnsi="Arial" w:cs="Arial"/>
          <w:b/>
          <w:sz w:val="20"/>
          <w:szCs w:val="20"/>
        </w:rPr>
        <w:t>Mónica Pérez, directora de Comunicación y Estudios de InfoJobs.</w:t>
      </w:r>
      <w:r>
        <w:rPr>
          <w:rFonts w:ascii="Arial" w:eastAsia="Arial" w:hAnsi="Arial" w:cs="Arial"/>
          <w:sz w:val="20"/>
          <w:szCs w:val="20"/>
        </w:rPr>
        <w:t xml:space="preserve"> </w:t>
      </w:r>
      <w:r>
        <w:rPr>
          <w:rFonts w:ascii="Arial" w:eastAsia="Arial" w:hAnsi="Arial" w:cs="Arial"/>
          <w:i/>
          <w:sz w:val="20"/>
          <w:szCs w:val="20"/>
        </w:rPr>
        <w:t>“Hablamos de aspectos como diversificación y transformación de los sectores más débiles de la economía, e</w:t>
      </w:r>
      <w:r>
        <w:rPr>
          <w:rFonts w:ascii="Arial" w:eastAsia="Arial" w:hAnsi="Arial" w:cs="Arial"/>
          <w:i/>
          <w:sz w:val="20"/>
          <w:szCs w:val="20"/>
        </w:rPr>
        <w:t>l impulso de la industria, el abaratamiento del emprendimiento o la ayuda a los colectivos más afectados por la crisis para que puedan mejorar sus competencias”</w:t>
      </w:r>
      <w:r>
        <w:rPr>
          <w:rFonts w:ascii="Arial" w:eastAsia="Arial" w:hAnsi="Arial" w:cs="Arial"/>
          <w:sz w:val="20"/>
          <w:szCs w:val="20"/>
        </w:rPr>
        <w:t>, añade.</w:t>
      </w:r>
    </w:p>
    <w:p w14:paraId="2499CD69" w14:textId="5AF157B0" w:rsidR="00B267F0" w:rsidRDefault="00B267F0">
      <w:pPr>
        <w:spacing w:line="276" w:lineRule="auto"/>
        <w:jc w:val="both"/>
        <w:rPr>
          <w:rFonts w:ascii="Arial" w:eastAsia="Arial" w:hAnsi="Arial" w:cs="Arial"/>
          <w:sz w:val="20"/>
          <w:szCs w:val="20"/>
        </w:rPr>
      </w:pPr>
      <w:r>
        <w:rPr>
          <w:noProof/>
        </w:rPr>
        <w:drawing>
          <wp:inline distT="0" distB="0" distL="0" distR="0" wp14:anchorId="77BDD140" wp14:editId="3F6CE6DF">
            <wp:extent cx="5628903" cy="29946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7692" cy="2999336"/>
                    </a:xfrm>
                    <a:prstGeom prst="rect">
                      <a:avLst/>
                    </a:prstGeom>
                  </pic:spPr>
                </pic:pic>
              </a:graphicData>
            </a:graphic>
          </wp:inline>
        </w:drawing>
      </w:r>
    </w:p>
    <w:p w14:paraId="7E5F1B89" w14:textId="77777777" w:rsidR="00D51F63" w:rsidRDefault="00D51F63">
      <w:pPr>
        <w:spacing w:line="276" w:lineRule="auto"/>
        <w:jc w:val="both"/>
        <w:rPr>
          <w:rFonts w:ascii="Arial" w:eastAsia="Arial" w:hAnsi="Arial" w:cs="Arial"/>
          <w:sz w:val="20"/>
          <w:szCs w:val="20"/>
        </w:rPr>
      </w:pPr>
    </w:p>
    <w:p w14:paraId="21B05E04" w14:textId="77777777" w:rsidR="00D51F63" w:rsidRDefault="00B267F0">
      <w:pPr>
        <w:pBdr>
          <w:top w:val="nil"/>
          <w:left w:val="nil"/>
          <w:bottom w:val="nil"/>
          <w:right w:val="nil"/>
          <w:between w:val="nil"/>
        </w:pBdr>
        <w:spacing w:line="276" w:lineRule="auto"/>
        <w:jc w:val="both"/>
        <w:rPr>
          <w:rFonts w:ascii="Arial" w:eastAsia="Arial" w:hAnsi="Arial" w:cs="Arial"/>
          <w:b/>
          <w:color w:val="2088C2"/>
          <w:sz w:val="20"/>
          <w:szCs w:val="20"/>
        </w:rPr>
      </w:pPr>
      <w:r>
        <w:rPr>
          <w:rFonts w:ascii="Arial" w:eastAsia="Arial" w:hAnsi="Arial" w:cs="Arial"/>
          <w:b/>
          <w:color w:val="2088C2"/>
          <w:sz w:val="20"/>
          <w:szCs w:val="20"/>
        </w:rPr>
        <w:t>Las empresas tecnológicas liderarán la contratación</w:t>
      </w:r>
    </w:p>
    <w:p w14:paraId="0613940D" w14:textId="77777777" w:rsidR="00D51F63" w:rsidRDefault="00B267F0">
      <w:pPr>
        <w:spacing w:line="276" w:lineRule="auto"/>
        <w:jc w:val="both"/>
        <w:rPr>
          <w:rFonts w:ascii="Arial" w:eastAsia="Arial" w:hAnsi="Arial" w:cs="Arial"/>
          <w:sz w:val="20"/>
          <w:szCs w:val="20"/>
        </w:rPr>
      </w:pPr>
      <w:r>
        <w:rPr>
          <w:rFonts w:ascii="Arial" w:eastAsia="Arial" w:hAnsi="Arial" w:cs="Arial"/>
          <w:sz w:val="20"/>
          <w:szCs w:val="20"/>
        </w:rPr>
        <w:t>Los datos del informe ofrecen dife</w:t>
      </w:r>
      <w:r>
        <w:rPr>
          <w:rFonts w:ascii="Arial" w:eastAsia="Arial" w:hAnsi="Arial" w:cs="Arial"/>
          <w:sz w:val="20"/>
          <w:szCs w:val="20"/>
        </w:rPr>
        <w:t>rencias significativas por sector. Así, los sectores cuaternario y quinario -dominados por compañías de carácter tecnológico- tienen mayores perspectivas de contratación en el corto, medio y largo plazo. Concretamente, el 26% de las empresas de este sector</w:t>
      </w:r>
      <w:r>
        <w:rPr>
          <w:rFonts w:ascii="Arial" w:eastAsia="Arial" w:hAnsi="Arial" w:cs="Arial"/>
          <w:sz w:val="20"/>
          <w:szCs w:val="20"/>
        </w:rPr>
        <w:t xml:space="preserve"> prevén incrementarla de aquí a final de año; el 38% (seis puntos porcentuales más que la media nacional) tiene previsto hacerlo a lo largo del año que viene; y hasta un 58% prevén aumentar la contratación a partir de 2023. </w:t>
      </w:r>
    </w:p>
    <w:p w14:paraId="38236CF9" w14:textId="77777777" w:rsidR="00D51F63" w:rsidRDefault="00D51F63">
      <w:pPr>
        <w:spacing w:line="276" w:lineRule="auto"/>
        <w:jc w:val="both"/>
        <w:rPr>
          <w:rFonts w:ascii="Arial" w:eastAsia="Arial" w:hAnsi="Arial" w:cs="Arial"/>
          <w:sz w:val="20"/>
          <w:szCs w:val="20"/>
        </w:rPr>
      </w:pPr>
    </w:p>
    <w:p w14:paraId="4218536A" w14:textId="4FE1C61D" w:rsidR="00D51F63" w:rsidRDefault="00B267F0">
      <w:pPr>
        <w:spacing w:line="276" w:lineRule="auto"/>
        <w:jc w:val="both"/>
        <w:rPr>
          <w:rFonts w:ascii="Arial" w:eastAsia="Arial" w:hAnsi="Arial" w:cs="Arial"/>
          <w:sz w:val="20"/>
          <w:szCs w:val="20"/>
        </w:rPr>
      </w:pPr>
      <w:r>
        <w:rPr>
          <w:rFonts w:ascii="Arial" w:eastAsia="Arial" w:hAnsi="Arial" w:cs="Arial"/>
          <w:sz w:val="20"/>
          <w:szCs w:val="20"/>
        </w:rPr>
        <w:t xml:space="preserve">Sucede de igual manera con la </w:t>
      </w:r>
      <w:r>
        <w:rPr>
          <w:rFonts w:ascii="Arial" w:eastAsia="Arial" w:hAnsi="Arial" w:cs="Arial"/>
          <w:sz w:val="20"/>
          <w:szCs w:val="20"/>
        </w:rPr>
        <w:t>percepción de la situación del empleo en España. Las empresas de estos dos sectores son las que en mayor proporción apuestan por la recuperación del mismo: el 25%, por ejemplo, piensa que el empleo mejorará a partir del año que viene (nueve puntos porcentu</w:t>
      </w:r>
      <w:r>
        <w:rPr>
          <w:rFonts w:ascii="Arial" w:eastAsia="Arial" w:hAnsi="Arial" w:cs="Arial"/>
          <w:sz w:val="20"/>
          <w:szCs w:val="20"/>
        </w:rPr>
        <w:t>ales más que las compañías de los sectores primario y secundario); y casi el 70% señala que irá a mejor con la llegada del 2023.</w:t>
      </w:r>
    </w:p>
    <w:p w14:paraId="237A1CDB" w14:textId="6B462D11" w:rsidR="00B267F0" w:rsidRDefault="00B267F0">
      <w:pPr>
        <w:spacing w:line="276" w:lineRule="auto"/>
        <w:jc w:val="both"/>
        <w:rPr>
          <w:rFonts w:ascii="Arial" w:eastAsia="Arial" w:hAnsi="Arial" w:cs="Arial"/>
          <w:sz w:val="20"/>
          <w:szCs w:val="20"/>
        </w:rPr>
      </w:pPr>
      <w:r>
        <w:rPr>
          <w:noProof/>
        </w:rPr>
        <w:drawing>
          <wp:inline distT="0" distB="0" distL="0" distR="0" wp14:anchorId="7E3BE680" wp14:editId="6F14DE37">
            <wp:extent cx="5940425" cy="3310255"/>
            <wp:effectExtent l="0" t="0" r="317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310255"/>
                    </a:xfrm>
                    <a:prstGeom prst="rect">
                      <a:avLst/>
                    </a:prstGeom>
                  </pic:spPr>
                </pic:pic>
              </a:graphicData>
            </a:graphic>
          </wp:inline>
        </w:drawing>
      </w:r>
    </w:p>
    <w:p w14:paraId="23516764" w14:textId="77777777" w:rsidR="00B267F0" w:rsidRDefault="00B267F0">
      <w:pPr>
        <w:spacing w:line="276" w:lineRule="auto"/>
        <w:jc w:val="both"/>
        <w:rPr>
          <w:rFonts w:ascii="Arial" w:eastAsia="Arial" w:hAnsi="Arial" w:cs="Arial"/>
          <w:sz w:val="20"/>
          <w:szCs w:val="20"/>
        </w:rPr>
      </w:pPr>
    </w:p>
    <w:p w14:paraId="7FE6BE18" w14:textId="77777777" w:rsidR="00D51F63" w:rsidRDefault="00B267F0">
      <w:pPr>
        <w:spacing w:line="276" w:lineRule="auto"/>
        <w:jc w:val="both"/>
        <w:rPr>
          <w:rFonts w:ascii="Arial" w:eastAsia="Arial" w:hAnsi="Arial" w:cs="Arial"/>
          <w:sz w:val="20"/>
          <w:szCs w:val="20"/>
        </w:rPr>
      </w:pPr>
      <w:r>
        <w:rPr>
          <w:rFonts w:ascii="Arial" w:eastAsia="Arial" w:hAnsi="Arial" w:cs="Arial"/>
          <w:sz w:val="20"/>
          <w:szCs w:val="20"/>
        </w:rPr>
        <w:t xml:space="preserve">Estos resultados confirman una vez más el auge del mundo TIC, en un año en el que la transformación digital ha desempeñado un </w:t>
      </w:r>
      <w:r>
        <w:rPr>
          <w:rFonts w:ascii="Arial" w:eastAsia="Arial" w:hAnsi="Arial" w:cs="Arial"/>
          <w:sz w:val="20"/>
          <w:szCs w:val="20"/>
        </w:rPr>
        <w:t>papel fundamental. Y es que a lo largo de todo este 2021, profesiones como la de Desarrollador/a de Software, Analista de Software y Consultor/a TIC han pasado a formar parte muchos meses del ránking de #LosProfesionalesMásDemandados de InfoJobs. De hecho,</w:t>
      </w:r>
      <w:r>
        <w:rPr>
          <w:rFonts w:ascii="Arial" w:eastAsia="Arial" w:hAnsi="Arial" w:cs="Arial"/>
          <w:sz w:val="20"/>
          <w:szCs w:val="20"/>
        </w:rPr>
        <w:t xml:space="preserve"> Desarrollador/a de Software, en los meses de febrero, marzo y abril ocupó la cuarta plaza de esta lista, con hasta más de 6.000 vacantes al mes; cifra que mantuvo en el mes de junio. El pasado julio, este puesto profesional recogió más de 5.000 vacantes.</w:t>
      </w:r>
    </w:p>
    <w:p w14:paraId="5217A7FD" w14:textId="77777777" w:rsidR="00D51F63" w:rsidRDefault="00B267F0">
      <w:pPr>
        <w:spacing w:line="276" w:lineRule="auto"/>
        <w:jc w:val="both"/>
        <w:rPr>
          <w:rFonts w:ascii="Arial" w:eastAsia="Arial" w:hAnsi="Arial" w:cs="Arial"/>
          <w:sz w:val="20"/>
          <w:szCs w:val="20"/>
        </w:rPr>
      </w:pPr>
      <w:r>
        <w:rPr>
          <w:rFonts w:ascii="Arial" w:eastAsia="Arial" w:hAnsi="Arial" w:cs="Arial"/>
          <w:sz w:val="20"/>
          <w:szCs w:val="20"/>
        </w:rPr>
        <w:t xml:space="preserve"> </w:t>
      </w:r>
    </w:p>
    <w:p w14:paraId="709465C1" w14:textId="77777777" w:rsidR="00D51F63" w:rsidRDefault="00B267F0">
      <w:pPr>
        <w:pBdr>
          <w:top w:val="nil"/>
          <w:left w:val="nil"/>
          <w:bottom w:val="nil"/>
          <w:right w:val="nil"/>
          <w:between w:val="nil"/>
        </w:pBdr>
        <w:spacing w:line="276" w:lineRule="auto"/>
        <w:jc w:val="both"/>
        <w:rPr>
          <w:rFonts w:ascii="Arial" w:eastAsia="Arial" w:hAnsi="Arial" w:cs="Arial"/>
          <w:b/>
          <w:color w:val="2088C2"/>
          <w:sz w:val="20"/>
          <w:szCs w:val="20"/>
        </w:rPr>
      </w:pPr>
      <w:r>
        <w:rPr>
          <w:rFonts w:ascii="Arial" w:eastAsia="Arial" w:hAnsi="Arial" w:cs="Arial"/>
          <w:b/>
          <w:color w:val="2088C2"/>
          <w:sz w:val="20"/>
          <w:szCs w:val="20"/>
        </w:rPr>
        <w:t>Las grandes empresas, más positivas a largo plazo</w:t>
      </w:r>
    </w:p>
    <w:p w14:paraId="08109CF2" w14:textId="3CB375C6" w:rsidR="00D51F63" w:rsidRDefault="00B267F0">
      <w:pPr>
        <w:spacing w:line="276" w:lineRule="auto"/>
        <w:jc w:val="both"/>
        <w:rPr>
          <w:rFonts w:ascii="Arial" w:eastAsia="Arial" w:hAnsi="Arial" w:cs="Arial"/>
          <w:sz w:val="20"/>
          <w:szCs w:val="20"/>
        </w:rPr>
      </w:pPr>
      <w:r>
        <w:rPr>
          <w:rFonts w:ascii="Arial" w:eastAsia="Arial" w:hAnsi="Arial" w:cs="Arial"/>
          <w:sz w:val="20"/>
          <w:szCs w:val="20"/>
        </w:rPr>
        <w:t>Como es de esperar, por tamaño de empresas, las compañías de más de 50 empleados ofrecen mejores perspectivas de contratación a largo plazo (59% frente al 51% de las pequeñas corporaciones), aunque a corto y medio plazo los porcentajes son pequeños y muy s</w:t>
      </w:r>
      <w:r>
        <w:rPr>
          <w:rFonts w:ascii="Arial" w:eastAsia="Arial" w:hAnsi="Arial" w:cs="Arial"/>
          <w:sz w:val="20"/>
          <w:szCs w:val="20"/>
        </w:rPr>
        <w:t>imilares. En lo que se refiere a percepción de la situación del empleo, sí se observan mayores diferencias: a corto plazo, los datos son parejos (solo el 7% de las compañías piensa que mejorará); pero a medio y largo plazo, las empresas de más de 50 emplea</w:t>
      </w:r>
      <w:r>
        <w:rPr>
          <w:rFonts w:ascii="Arial" w:eastAsia="Arial" w:hAnsi="Arial" w:cs="Arial"/>
          <w:sz w:val="20"/>
          <w:szCs w:val="20"/>
        </w:rPr>
        <w:t>dos tienen mejores perspectivas. Sobre todo, de aquí a dos años, cuando hasta el 72% de las compañías de más de 50 empleados piensa que la situación del empleo mejorará, frente al 61% de las compañías de menos de 50 empleados.</w:t>
      </w:r>
    </w:p>
    <w:p w14:paraId="4BBA0C17" w14:textId="3B6E9C0F" w:rsidR="00B267F0" w:rsidRDefault="00B267F0">
      <w:pPr>
        <w:spacing w:line="276" w:lineRule="auto"/>
        <w:jc w:val="both"/>
        <w:rPr>
          <w:rFonts w:ascii="Arial" w:eastAsia="Arial" w:hAnsi="Arial" w:cs="Arial"/>
          <w:sz w:val="20"/>
          <w:szCs w:val="20"/>
        </w:rPr>
      </w:pPr>
    </w:p>
    <w:p w14:paraId="1D65ACCA" w14:textId="77777777" w:rsidR="00B267F0" w:rsidRDefault="00B267F0">
      <w:pPr>
        <w:spacing w:line="276" w:lineRule="auto"/>
        <w:jc w:val="both"/>
        <w:rPr>
          <w:rFonts w:ascii="Arial" w:eastAsia="Arial" w:hAnsi="Arial" w:cs="Arial"/>
          <w:sz w:val="20"/>
          <w:szCs w:val="20"/>
        </w:rPr>
      </w:pPr>
    </w:p>
    <w:p w14:paraId="00619EE6" w14:textId="77777777" w:rsidR="00D51F63" w:rsidRDefault="00D51F63">
      <w:pPr>
        <w:spacing w:line="276" w:lineRule="auto"/>
        <w:jc w:val="both"/>
        <w:rPr>
          <w:rFonts w:ascii="Arial" w:eastAsia="Arial" w:hAnsi="Arial" w:cs="Arial"/>
          <w:sz w:val="20"/>
          <w:szCs w:val="20"/>
        </w:rPr>
      </w:pPr>
    </w:p>
    <w:p w14:paraId="3C198CC3" w14:textId="77777777" w:rsidR="00D51F63" w:rsidRDefault="00B267F0">
      <w:pPr>
        <w:pBdr>
          <w:top w:val="nil"/>
          <w:left w:val="nil"/>
          <w:bottom w:val="nil"/>
          <w:right w:val="nil"/>
          <w:between w:val="nil"/>
        </w:pBdr>
        <w:spacing w:line="276" w:lineRule="auto"/>
        <w:jc w:val="both"/>
        <w:rPr>
          <w:rFonts w:ascii="Calibri" w:eastAsia="Calibri" w:hAnsi="Calibri" w:cs="Calibri"/>
          <w:b/>
          <w:i/>
          <w:color w:val="2088C2"/>
          <w:sz w:val="20"/>
          <w:szCs w:val="20"/>
        </w:rPr>
      </w:pPr>
      <w:r>
        <w:rPr>
          <w:rFonts w:ascii="Calibri" w:eastAsia="Calibri" w:hAnsi="Calibri" w:cs="Calibri"/>
          <w:b/>
          <w:i/>
          <w:color w:val="2088C2"/>
          <w:sz w:val="20"/>
          <w:szCs w:val="20"/>
        </w:rPr>
        <w:lastRenderedPageBreak/>
        <w:t>*Nota metodológica del infor</w:t>
      </w:r>
      <w:r>
        <w:rPr>
          <w:rFonts w:ascii="Calibri" w:eastAsia="Calibri" w:hAnsi="Calibri" w:cs="Calibri"/>
          <w:b/>
          <w:i/>
          <w:color w:val="2088C2"/>
          <w:sz w:val="20"/>
          <w:szCs w:val="20"/>
        </w:rPr>
        <w:t>me:</w:t>
      </w:r>
    </w:p>
    <w:p w14:paraId="3B39D8F4" w14:textId="77777777" w:rsidR="00D51F63" w:rsidRDefault="00B267F0">
      <w:pPr>
        <w:pBdr>
          <w:top w:val="nil"/>
          <w:left w:val="nil"/>
          <w:bottom w:val="nil"/>
          <w:right w:val="nil"/>
          <w:between w:val="nil"/>
        </w:pBdr>
        <w:jc w:val="both"/>
        <w:rPr>
          <w:rFonts w:ascii="Arial" w:eastAsia="Arial" w:hAnsi="Arial" w:cs="Arial"/>
          <w:i/>
          <w:sz w:val="16"/>
          <w:szCs w:val="16"/>
        </w:rPr>
      </w:pPr>
      <w:r>
        <w:rPr>
          <w:rFonts w:ascii="Arial" w:eastAsia="Arial" w:hAnsi="Arial" w:cs="Arial"/>
          <w:i/>
          <w:sz w:val="16"/>
          <w:szCs w:val="16"/>
        </w:rPr>
        <w:t xml:space="preserve">Los datos de empresas han sido extraídos mediante la realización de encuestas online autoadministradas (CAWI) a través de la base de datos de InfoJobs con un cuestionario estructurado de una duración aproximada de 10 minutos. La muestra ha sido de 768 </w:t>
      </w:r>
      <w:r>
        <w:rPr>
          <w:rFonts w:ascii="Arial" w:eastAsia="Arial" w:hAnsi="Arial" w:cs="Arial"/>
          <w:i/>
          <w:sz w:val="16"/>
          <w:szCs w:val="16"/>
        </w:rPr>
        <w:t xml:space="preserve">empresas y el margen de error es de +/- 3,5 % para un intervalo de confianza del 95 %. </w:t>
      </w:r>
    </w:p>
    <w:p w14:paraId="3544CEC6" w14:textId="77777777" w:rsidR="00D51F63" w:rsidRDefault="00D51F63">
      <w:pPr>
        <w:spacing w:line="276" w:lineRule="auto"/>
        <w:jc w:val="center"/>
        <w:rPr>
          <w:rFonts w:ascii="Arial" w:eastAsia="Arial" w:hAnsi="Arial" w:cs="Arial"/>
          <w:sz w:val="18"/>
          <w:szCs w:val="18"/>
        </w:rPr>
      </w:pPr>
    </w:p>
    <w:p w14:paraId="2BBD5C5F" w14:textId="77777777" w:rsidR="00D51F63" w:rsidRDefault="00B267F0">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InfoJobs</w:t>
      </w:r>
    </w:p>
    <w:p w14:paraId="1A8D6535" w14:textId="77777777" w:rsidR="00D51F63" w:rsidRDefault="00B267F0">
      <w:pPr>
        <w:pBdr>
          <w:top w:val="nil"/>
          <w:left w:val="nil"/>
          <w:bottom w:val="nil"/>
          <w:right w:val="nil"/>
          <w:between w:val="nil"/>
        </w:pBdr>
        <w:jc w:val="both"/>
        <w:rPr>
          <w:color w:val="000000"/>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w:t>
      </w:r>
      <w:r>
        <w:rPr>
          <w:rFonts w:ascii="Arial" w:eastAsia="Arial" w:hAnsi="Arial" w:cs="Arial"/>
          <w:color w:val="808080"/>
          <w:sz w:val="16"/>
          <w:szCs w:val="16"/>
        </w:rPr>
        <w:t>spositivos móviles) y cerca de 6 millones de usuarios activos. (Fuente datos: Adobe Analytics Feb 2021).</w:t>
      </w:r>
    </w:p>
    <w:p w14:paraId="3D705AAD" w14:textId="77777777" w:rsidR="00D51F63" w:rsidRDefault="00D51F63"/>
    <w:p w14:paraId="1A537013" w14:textId="77777777" w:rsidR="00D51F63" w:rsidRDefault="00B267F0">
      <w:pPr>
        <w:pBdr>
          <w:top w:val="nil"/>
          <w:left w:val="nil"/>
          <w:bottom w:val="nil"/>
          <w:right w:val="nil"/>
          <w:between w:val="nil"/>
        </w:pBdr>
        <w:jc w:val="both"/>
        <w:rPr>
          <w:color w:val="000000"/>
        </w:rPr>
      </w:pPr>
      <w:r>
        <w:rPr>
          <w:rFonts w:ascii="Arial" w:eastAsia="Arial" w:hAnsi="Arial" w:cs="Arial"/>
          <w:color w:val="808080"/>
          <w:sz w:val="16"/>
          <w:szCs w:val="16"/>
        </w:rPr>
        <w:t xml:space="preserve">InfoJobs pertenece a Adevinta, compañía líder en marketplaces digitales y una de las principales empresas del sector tecnológico del país, con más de </w:t>
      </w:r>
      <w:r>
        <w:rPr>
          <w:rFonts w:ascii="Arial" w:eastAsia="Arial" w:hAnsi="Arial" w:cs="Arial"/>
          <w:color w:val="808080"/>
          <w:sz w:val="16"/>
          <w:szCs w:val="16"/>
        </w:rPr>
        <w:t>18 millones de usuarios al mes en sus plataformas de los sectores inmobiliario (</w:t>
      </w:r>
      <w:hyperlink r:id="rId10">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11">
        <w:r>
          <w:rPr>
            <w:rFonts w:ascii="Arial" w:eastAsia="Arial" w:hAnsi="Arial" w:cs="Arial"/>
            <w:color w:val="808080"/>
            <w:sz w:val="16"/>
            <w:szCs w:val="16"/>
            <w:u w:val="single"/>
          </w:rPr>
          <w:t>habitaclia</w:t>
        </w:r>
      </w:hyperlink>
      <w:r>
        <w:rPr>
          <w:rFonts w:ascii="Arial" w:eastAsia="Arial" w:hAnsi="Arial" w:cs="Arial"/>
          <w:color w:val="808080"/>
          <w:sz w:val="16"/>
          <w:szCs w:val="16"/>
        </w:rPr>
        <w:t>), empleo (</w:t>
      </w:r>
      <w:hyperlink r:id="rId12">
        <w:r>
          <w:rPr>
            <w:rFonts w:ascii="Arial" w:eastAsia="Arial" w:hAnsi="Arial" w:cs="Arial"/>
            <w:color w:val="808080"/>
            <w:sz w:val="16"/>
            <w:szCs w:val="16"/>
            <w:u w:val="single"/>
          </w:rPr>
          <w:t>InfoJ</w:t>
        </w:r>
        <w:r>
          <w:rPr>
            <w:rFonts w:ascii="Arial" w:eastAsia="Arial" w:hAnsi="Arial" w:cs="Arial"/>
            <w:color w:val="808080"/>
            <w:sz w:val="16"/>
            <w:szCs w:val="16"/>
            <w:u w:val="single"/>
          </w:rPr>
          <w:t>obs</w:t>
        </w:r>
      </w:hyperlink>
      <w:r>
        <w:rPr>
          <w:rFonts w:ascii="Arial" w:eastAsia="Arial" w:hAnsi="Arial" w:cs="Arial"/>
          <w:color w:val="808080"/>
          <w:sz w:val="16"/>
          <w:szCs w:val="16"/>
        </w:rPr>
        <w:t>), motor (</w:t>
      </w:r>
      <w:hyperlink r:id="rId13">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4">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hyperlink r:id="rId15">
        <w:r>
          <w:rPr>
            <w:rFonts w:ascii="Arial" w:eastAsia="Arial" w:hAnsi="Arial" w:cs="Arial"/>
            <w:color w:val="808080"/>
            <w:sz w:val="16"/>
            <w:szCs w:val="16"/>
            <w:u w:val="single"/>
          </w:rPr>
          <w:t>Milanuncios</w:t>
        </w:r>
      </w:hyperlink>
      <w:r>
        <w:rPr>
          <w:rFonts w:ascii="Arial" w:eastAsia="Arial" w:hAnsi="Arial" w:cs="Arial"/>
          <w:color w:val="808080"/>
          <w:sz w:val="16"/>
          <w:szCs w:val="16"/>
        </w:rPr>
        <w:t>).</w:t>
      </w:r>
    </w:p>
    <w:p w14:paraId="0DFF387C" w14:textId="77777777" w:rsidR="00D51F63" w:rsidRDefault="00B267F0">
      <w:pPr>
        <w:pBdr>
          <w:top w:val="nil"/>
          <w:left w:val="nil"/>
          <w:bottom w:val="nil"/>
          <w:right w:val="nil"/>
          <w:between w:val="nil"/>
        </w:pBdr>
        <w:jc w:val="both"/>
        <w:rPr>
          <w:color w:val="000000"/>
        </w:rPr>
      </w:pPr>
      <w:r>
        <w:rPr>
          <w:rFonts w:ascii="Arial" w:eastAsia="Arial" w:hAnsi="Arial" w:cs="Arial"/>
          <w:color w:val="808080"/>
          <w:sz w:val="16"/>
          <w:szCs w:val="16"/>
        </w:rPr>
        <w:t> </w:t>
      </w:r>
    </w:p>
    <w:p w14:paraId="1326ADA3" w14:textId="77777777" w:rsidR="00D51F63" w:rsidRDefault="00D51F63">
      <w:pPr>
        <w:jc w:val="both"/>
        <w:rPr>
          <w:rFonts w:ascii="Arial" w:eastAsia="Arial" w:hAnsi="Arial" w:cs="Arial"/>
          <w:color w:val="808080"/>
          <w:sz w:val="16"/>
          <w:szCs w:val="16"/>
        </w:rPr>
      </w:pPr>
    </w:p>
    <w:p w14:paraId="4DE00FB8" w14:textId="77777777" w:rsidR="00D51F63" w:rsidRDefault="00B267F0">
      <w:pPr>
        <w:jc w:val="both"/>
        <w:rPr>
          <w:rFonts w:ascii="Arial" w:eastAsia="Arial" w:hAnsi="Arial" w:cs="Arial"/>
          <w:color w:val="808080"/>
          <w:sz w:val="16"/>
          <w:szCs w:val="16"/>
        </w:rPr>
      </w:pPr>
      <w:r>
        <w:rPr>
          <w:rFonts w:ascii="Arial" w:eastAsia="Arial" w:hAnsi="Arial" w:cs="Arial"/>
          <w:color w:val="808080"/>
          <w:sz w:val="16"/>
          <w:szCs w:val="16"/>
        </w:rPr>
        <w:t>Adevinta</w:t>
      </w:r>
      <w:r>
        <w:rPr>
          <w:rFonts w:ascii="Arial" w:eastAsia="Arial" w:hAnsi="Arial" w:cs="Arial"/>
          <w:color w:val="808080"/>
          <w:sz w:val="16"/>
          <w:szCs w:val="16"/>
        </w:rPr>
        <w:t xml:space="preserve"> tiene presencia mundial en 16 países. En España cuenta con una plantilla de 1.100 empleados, comprometidos con fomentar un cambio positivo en el mundo a través de tecnología innovadora, otorgando una nueva oportunidad a quienes la están buscando y dando a</w:t>
      </w:r>
      <w:r>
        <w:rPr>
          <w:rFonts w:ascii="Arial" w:eastAsia="Arial" w:hAnsi="Arial" w:cs="Arial"/>
          <w:color w:val="808080"/>
          <w:sz w:val="16"/>
          <w:szCs w:val="16"/>
        </w:rPr>
        <w:t xml:space="preserve"> las cosas una segunda vida. El conjunto de sus plataformas locales recibe un promedio de 3.000 millones de visitas cada mes. Más información en </w:t>
      </w:r>
      <w:hyperlink r:id="rId16">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27C7E6F4" w14:textId="77777777" w:rsidR="00D51F63" w:rsidRDefault="00B267F0">
      <w:pPr>
        <w:spacing w:line="252" w:lineRule="auto"/>
        <w:rPr>
          <w:rFonts w:ascii="Arial" w:eastAsia="Arial" w:hAnsi="Arial" w:cs="Arial"/>
          <w:sz w:val="20"/>
          <w:szCs w:val="20"/>
        </w:rPr>
      </w:pPr>
      <w:r>
        <w:rPr>
          <w:rFonts w:ascii="Arial" w:eastAsia="Arial" w:hAnsi="Arial" w:cs="Arial"/>
          <w:sz w:val="16"/>
          <w:szCs w:val="16"/>
        </w:rPr>
        <w:t xml:space="preserve">   </w:t>
      </w:r>
    </w:p>
    <w:p w14:paraId="3AF3E1B4" w14:textId="77777777" w:rsidR="00D51F63" w:rsidRDefault="00B267F0">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39267FAC" w14:textId="77777777" w:rsidR="00D51F63" w:rsidRDefault="00B267F0">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Lluïsa Clua</w:t>
      </w:r>
    </w:p>
    <w:p w14:paraId="14FCB5B0" w14:textId="77777777" w:rsidR="00D51F63" w:rsidRDefault="00B267F0">
      <w:pPr>
        <w:jc w:val="both"/>
        <w:rPr>
          <w:rFonts w:ascii="Arial" w:eastAsia="Arial" w:hAnsi="Arial" w:cs="Arial"/>
          <w:color w:val="7F7F7F"/>
          <w:sz w:val="18"/>
          <w:szCs w:val="18"/>
        </w:rPr>
      </w:pPr>
      <w:hyperlink r:id="rId17">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8">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3DD2F05D" w14:textId="77777777" w:rsidR="00D51F63" w:rsidRDefault="00B267F0">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r>
      <w:r>
        <w:rPr>
          <w:rFonts w:ascii="Arial" w:eastAsia="Arial" w:hAnsi="Arial" w:cs="Arial"/>
          <w:color w:val="808080"/>
          <w:sz w:val="16"/>
          <w:szCs w:val="16"/>
        </w:rPr>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sectPr w:rsidR="00D51F63">
      <w:headerReference w:type="default" r:id="rId19"/>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EF3E" w14:textId="77777777" w:rsidR="00000000" w:rsidRDefault="00B267F0">
      <w:r>
        <w:separator/>
      </w:r>
    </w:p>
  </w:endnote>
  <w:endnote w:type="continuationSeparator" w:id="0">
    <w:p w14:paraId="089F446C" w14:textId="77777777" w:rsidR="00000000" w:rsidRDefault="00B2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E7F1" w14:textId="77777777" w:rsidR="00000000" w:rsidRDefault="00B267F0">
      <w:r>
        <w:separator/>
      </w:r>
    </w:p>
  </w:footnote>
  <w:footnote w:type="continuationSeparator" w:id="0">
    <w:p w14:paraId="1ACD0D4E" w14:textId="77777777" w:rsidR="00000000" w:rsidRDefault="00B2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E9C3" w14:textId="77777777" w:rsidR="00D51F63" w:rsidRDefault="00B267F0">
    <w:pPr>
      <w:pBdr>
        <w:top w:val="nil"/>
        <w:left w:val="nil"/>
        <w:bottom w:val="nil"/>
        <w:right w:val="nil"/>
        <w:between w:val="nil"/>
      </w:pBdr>
      <w:tabs>
        <w:tab w:val="center" w:pos="4819"/>
        <w:tab w:val="right" w:pos="9638"/>
      </w:tabs>
      <w:rPr>
        <w:rFonts w:ascii="Arial" w:eastAsia="Arial" w:hAnsi="Arial" w:cs="Arial"/>
        <w:color w:val="3A7AB2"/>
        <w:sz w:val="28"/>
        <w:szCs w:val="28"/>
      </w:rPr>
    </w:pPr>
    <w:r>
      <w:rPr>
        <w:rFonts w:ascii="Arial" w:eastAsia="Arial" w:hAnsi="Arial" w:cs="Arial"/>
        <w:noProof/>
        <w:color w:val="3A7AB2"/>
        <w:sz w:val="28"/>
        <w:szCs w:val="28"/>
      </w:rPr>
      <w:drawing>
        <wp:inline distT="0" distB="0" distL="0" distR="0" wp14:anchorId="5B3F71CB" wp14:editId="2BFD6E63">
          <wp:extent cx="972902" cy="246830"/>
          <wp:effectExtent l="0" t="0" r="0" b="0"/>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noProof/>
      </w:rPr>
      <w:drawing>
        <wp:anchor distT="152400" distB="152400" distL="152400" distR="152400" simplePos="0" relativeHeight="251658240" behindDoc="0" locked="0" layoutInCell="1" hidden="0" allowOverlap="1" wp14:anchorId="3480862F" wp14:editId="41A89815">
          <wp:simplePos x="0" y="0"/>
          <wp:positionH relativeFrom="column">
            <wp:posOffset>5520690</wp:posOffset>
          </wp:positionH>
          <wp:positionV relativeFrom="paragraph">
            <wp:posOffset>-452116</wp:posOffset>
          </wp:positionV>
          <wp:extent cx="720001" cy="720001"/>
          <wp:effectExtent l="0" t="0" r="0" b="0"/>
          <wp:wrapSquare wrapText="bothSides" distT="152400" distB="152400" distL="152400" distR="152400"/>
          <wp:docPr id="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14:paraId="5A7DB79A" w14:textId="77777777" w:rsidR="00D51F63" w:rsidRDefault="00B267F0">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r>
      <w:rPr>
        <w:rFonts w:ascii="Arial" w:eastAsia="Arial" w:hAnsi="Arial" w:cs="Arial"/>
        <w:color w:val="66666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10330"/>
    <w:multiLevelType w:val="multilevel"/>
    <w:tmpl w:val="CF407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F63"/>
    <w:rsid w:val="00B267F0"/>
    <w:rsid w:val="00D51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330E"/>
  <w15:docId w15:val="{1E305553-409B-4C46-A605-879F9681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A5694"/>
    <w:pPr>
      <w:spacing w:before="100" w:beforeAutospacing="1" w:after="100" w:afterAutospacing="1"/>
    </w:pPr>
    <w:rPr>
      <w:lang w:val="es-ES"/>
    </w:rPr>
  </w:style>
  <w:style w:type="paragraph" w:styleId="Prrafodelista">
    <w:name w:val="List Paragraph"/>
    <w:basedOn w:val="Normal"/>
    <w:qFormat/>
    <w:rsid w:val="00A97D9F"/>
    <w:pPr>
      <w:ind w:left="720"/>
      <w:contextualSpacing/>
    </w:pPr>
  </w:style>
  <w:style w:type="character" w:styleId="Refdecomentario">
    <w:name w:val="annotation reference"/>
    <w:unhideWhenUsed/>
    <w:qFormat/>
    <w:rPr>
      <w:sz w:val="16"/>
      <w:szCs w:val="16"/>
    </w:rPr>
  </w:style>
  <w:style w:type="paragraph" w:styleId="Textocomentario">
    <w:name w:val="annotation text"/>
    <w:basedOn w:val="Normal"/>
    <w:link w:val="TextocomentarioCar1"/>
    <w:unhideWhenUsed/>
    <w:qFormat/>
    <w:rPr>
      <w:sz w:val="20"/>
      <w:szCs w:val="20"/>
    </w:rPr>
  </w:style>
  <w:style w:type="character" w:customStyle="1" w:styleId="TextocomentarioCar">
    <w:name w:val="Texto comentario Car"/>
    <w:basedOn w:val="Fuentedeprrafopredeter"/>
    <w:uiPriority w:val="99"/>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styleId="Textoennegrita">
    <w:name w:val="Strong"/>
    <w:basedOn w:val="Fuentedeprrafopredeter"/>
    <w:uiPriority w:val="22"/>
    <w:qFormat/>
    <w:rsid w:val="0000408C"/>
    <w:rPr>
      <w:b/>
      <w:bCs/>
    </w:rPr>
  </w:style>
  <w:style w:type="paragraph" w:customStyle="1" w:styleId="Cuadrculamedia21">
    <w:name w:val="Cuadrícula media 21"/>
    <w:link w:val="Cuadrculamedia2Car"/>
    <w:uiPriority w:val="1"/>
    <w:qFormat/>
    <w:rsid w:val="00610F22"/>
    <w:rPr>
      <w:rFonts w:ascii="Calibri" w:hAnsi="Calibri"/>
      <w:sz w:val="22"/>
      <w:szCs w:val="22"/>
      <w:lang w:val="es-ES" w:eastAsia="en-US"/>
    </w:rPr>
  </w:style>
  <w:style w:type="character" w:customStyle="1" w:styleId="Cuadrculamedia2Car">
    <w:name w:val="Cuadrícula media 2 Car"/>
    <w:link w:val="Cuadrculamedia21"/>
    <w:uiPriority w:val="1"/>
    <w:locked/>
    <w:rsid w:val="00610F22"/>
    <w:rPr>
      <w:rFonts w:ascii="Calibri" w:hAnsi="Calibri"/>
      <w:sz w:val="22"/>
      <w:szCs w:val="22"/>
      <w:lang w:val="es-ES" w:eastAsia="en-US"/>
    </w:rPr>
  </w:style>
  <w:style w:type="character" w:customStyle="1" w:styleId="qowt-font1-calibri">
    <w:name w:val="qowt-font1-calibri"/>
    <w:rsid w:val="00610F22"/>
  </w:style>
  <w:style w:type="character" w:customStyle="1" w:styleId="Mencinsinresolver1">
    <w:name w:val="Mención sin resolver1"/>
    <w:basedOn w:val="Fuentedeprrafopredeter"/>
    <w:uiPriority w:val="99"/>
    <w:semiHidden/>
    <w:unhideWhenUsed/>
    <w:rsid w:val="00A577E5"/>
    <w:rPr>
      <w:color w:val="605E5C"/>
      <w:shd w:val="clear" w:color="auto" w:fill="E1DFDD"/>
    </w:rPr>
  </w:style>
  <w:style w:type="character" w:styleId="Hipervnculovisitado">
    <w:name w:val="FollowedHyperlink"/>
    <w:basedOn w:val="Fuentedeprrafopredeter"/>
    <w:uiPriority w:val="99"/>
    <w:semiHidden/>
    <w:unhideWhenUsed/>
    <w:rsid w:val="00895E5D"/>
    <w:rPr>
      <w:color w:val="800080" w:themeColor="followedHyperlink"/>
      <w:u w:val="single"/>
    </w:rPr>
  </w:style>
  <w:style w:type="character" w:customStyle="1" w:styleId="Ninguno">
    <w:name w:val="Ninguno"/>
    <w:rsid w:val="00E010BC"/>
    <w:rPr>
      <w:lang w:val="es-ES_tradnl"/>
    </w:rPr>
  </w:style>
  <w:style w:type="paragraph" w:customStyle="1" w:styleId="Destacado">
    <w:name w:val="Destacado"/>
    <w:rsid w:val="00E010BC"/>
    <w:pPr>
      <w:pBdr>
        <w:top w:val="nil"/>
        <w:left w:val="nil"/>
        <w:bottom w:val="nil"/>
        <w:right w:val="nil"/>
        <w:between w:val="nil"/>
        <w:bar w:val="nil"/>
      </w:pBdr>
      <w:spacing w:line="288" w:lineRule="auto"/>
    </w:pPr>
    <w:rPr>
      <w:rFonts w:ascii="Arial" w:eastAsia="Arial Unicode MS" w:hAnsi="Arial" w:cs="Arial Unicode MS"/>
      <w:color w:val="3A7AB2"/>
      <w:sz w:val="32"/>
      <w:szCs w:val="32"/>
      <w:u w:color="000000"/>
      <w:bdr w:val="nil"/>
    </w:rPr>
  </w:style>
  <w:style w:type="paragraph" w:styleId="Encabezado">
    <w:name w:val="header"/>
    <w:basedOn w:val="Normal"/>
    <w:link w:val="EncabezadoCar"/>
    <w:uiPriority w:val="99"/>
    <w:unhideWhenUsed/>
    <w:rsid w:val="00FE6A7D"/>
    <w:pPr>
      <w:tabs>
        <w:tab w:val="center" w:pos="4252"/>
        <w:tab w:val="right" w:pos="8504"/>
      </w:tabs>
    </w:pPr>
  </w:style>
  <w:style w:type="character" w:customStyle="1" w:styleId="EncabezadoCar">
    <w:name w:val="Encabezado Car"/>
    <w:basedOn w:val="Fuentedeprrafopredeter"/>
    <w:link w:val="Encabezado"/>
    <w:uiPriority w:val="99"/>
    <w:rsid w:val="00FE6A7D"/>
  </w:style>
  <w:style w:type="paragraph" w:styleId="Piedepgina">
    <w:name w:val="footer"/>
    <w:basedOn w:val="Normal"/>
    <w:link w:val="PiedepginaCar"/>
    <w:uiPriority w:val="99"/>
    <w:unhideWhenUsed/>
    <w:rsid w:val="00FE6A7D"/>
    <w:pPr>
      <w:tabs>
        <w:tab w:val="center" w:pos="4252"/>
        <w:tab w:val="right" w:pos="8504"/>
      </w:tabs>
    </w:pPr>
  </w:style>
  <w:style w:type="character" w:customStyle="1" w:styleId="PiedepginaCar">
    <w:name w:val="Pie de página Car"/>
    <w:basedOn w:val="Fuentedeprrafopredeter"/>
    <w:link w:val="Piedepgina"/>
    <w:uiPriority w:val="99"/>
    <w:rsid w:val="00FE6A7D"/>
  </w:style>
  <w:style w:type="character" w:customStyle="1" w:styleId="Mencinsinresolver2">
    <w:name w:val="Mención sin resolver2"/>
    <w:basedOn w:val="Fuentedeprrafopredeter"/>
    <w:uiPriority w:val="99"/>
    <w:semiHidden/>
    <w:unhideWhenUsed/>
    <w:rsid w:val="00D2326C"/>
    <w:rPr>
      <w:color w:val="605E5C"/>
      <w:shd w:val="clear" w:color="auto" w:fill="E1DFDD"/>
    </w:rPr>
  </w:style>
  <w:style w:type="character" w:customStyle="1" w:styleId="Mencinsinresolver3">
    <w:name w:val="Mención sin resolver3"/>
    <w:basedOn w:val="Fuentedeprrafopredeter"/>
    <w:uiPriority w:val="99"/>
    <w:semiHidden/>
    <w:unhideWhenUsed/>
    <w:rsid w:val="00456064"/>
    <w:rPr>
      <w:color w:val="605E5C"/>
      <w:shd w:val="clear" w:color="auto" w:fill="E1DFDD"/>
    </w:rPr>
  </w:style>
  <w:style w:type="paragraph" w:styleId="Textonotaalfinal">
    <w:name w:val="endnote text"/>
    <w:basedOn w:val="Normal"/>
    <w:link w:val="TextonotaalfinalCar"/>
    <w:uiPriority w:val="99"/>
    <w:semiHidden/>
    <w:unhideWhenUsed/>
    <w:rsid w:val="00A16E0C"/>
    <w:rPr>
      <w:sz w:val="20"/>
      <w:szCs w:val="20"/>
    </w:rPr>
  </w:style>
  <w:style w:type="character" w:customStyle="1" w:styleId="TextonotaalfinalCar">
    <w:name w:val="Texto nota al final Car"/>
    <w:basedOn w:val="Fuentedeprrafopredeter"/>
    <w:link w:val="Textonotaalfinal"/>
    <w:uiPriority w:val="99"/>
    <w:semiHidden/>
    <w:rsid w:val="00A16E0C"/>
    <w:rPr>
      <w:sz w:val="20"/>
      <w:szCs w:val="20"/>
    </w:rPr>
  </w:style>
  <w:style w:type="character" w:styleId="Refdenotaalfinal">
    <w:name w:val="endnote reference"/>
    <w:basedOn w:val="Fuentedeprrafopredeter"/>
    <w:uiPriority w:val="99"/>
    <w:semiHidden/>
    <w:unhideWhenUsed/>
    <w:rsid w:val="00A16E0C"/>
    <w:rPr>
      <w:vertAlign w:val="superscript"/>
    </w:rPr>
  </w:style>
  <w:style w:type="character" w:customStyle="1" w:styleId="Mencinsinresolver4">
    <w:name w:val="Mención sin resolver4"/>
    <w:basedOn w:val="Fuentedeprrafopredeter"/>
    <w:uiPriority w:val="99"/>
    <w:semiHidden/>
    <w:unhideWhenUsed/>
    <w:rsid w:val="003B4F62"/>
    <w:rPr>
      <w:color w:val="605E5C"/>
      <w:shd w:val="clear" w:color="auto" w:fill="E1DFDD"/>
    </w:rPr>
  </w:style>
  <w:style w:type="paragraph" w:styleId="Textonotapie">
    <w:name w:val="footnote text"/>
    <w:basedOn w:val="Normal"/>
    <w:link w:val="TextonotapieCar"/>
    <w:uiPriority w:val="99"/>
    <w:semiHidden/>
    <w:unhideWhenUsed/>
    <w:rsid w:val="001E1DF2"/>
    <w:rPr>
      <w:sz w:val="20"/>
      <w:szCs w:val="20"/>
    </w:rPr>
  </w:style>
  <w:style w:type="character" w:customStyle="1" w:styleId="TextonotapieCar">
    <w:name w:val="Texto nota pie Car"/>
    <w:basedOn w:val="Fuentedeprrafopredeter"/>
    <w:link w:val="Textonotapie"/>
    <w:uiPriority w:val="99"/>
    <w:semiHidden/>
    <w:rsid w:val="001E1DF2"/>
    <w:rPr>
      <w:sz w:val="20"/>
      <w:szCs w:val="20"/>
    </w:rPr>
  </w:style>
  <w:style w:type="character" w:styleId="Refdenotaalpie">
    <w:name w:val="footnote reference"/>
    <w:basedOn w:val="Fuentedeprrafopredeter"/>
    <w:uiPriority w:val="99"/>
    <w:semiHidden/>
    <w:unhideWhenUsed/>
    <w:rsid w:val="001E1DF2"/>
    <w:rPr>
      <w:vertAlign w:val="superscript"/>
    </w:rPr>
  </w:style>
  <w:style w:type="character" w:customStyle="1" w:styleId="Mencinsinresolver5">
    <w:name w:val="Mención sin resolver5"/>
    <w:basedOn w:val="Fuentedeprrafopredeter"/>
    <w:uiPriority w:val="99"/>
    <w:semiHidden/>
    <w:unhideWhenUsed/>
    <w:rsid w:val="004E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ches.net/" TargetMode="External"/><Relationship Id="rId18" Type="http://schemas.openxmlformats.org/officeDocument/2006/relationships/hyperlink" Target="mailto:infojobs@evercom.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mailto:prensa@infojobs.net" TargetMode="External"/><Relationship Id="rId2" Type="http://schemas.openxmlformats.org/officeDocument/2006/relationships/numbering" Target="numbering.xml"/><Relationship Id="rId16" Type="http://schemas.openxmlformats.org/officeDocument/2006/relationships/hyperlink" Target="https://www.adevinta.com/es/sp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clia.com/" TargetMode="External"/><Relationship Id="rId5" Type="http://schemas.openxmlformats.org/officeDocument/2006/relationships/webSettings" Target="webSettings.xml"/><Relationship Id="rId15" Type="http://schemas.openxmlformats.org/officeDocument/2006/relationships/hyperlink" Target="https://www.milanuncios.com/" TargetMode="External"/><Relationship Id="rId10" Type="http://schemas.openxmlformats.org/officeDocument/2006/relationships/hyperlink" Target="https://www.fotocasa.e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tos.coche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r5rlRn67z5K3EgxxDg85qTMSA==">AMUW2mXAdhqX2bZc/SgXJrmlr8B04BUvYY1BeBinyet5cnuu2vBWVpIYmp5uge0uRxZck4wmo6AFo7F0Myw3wk6qyWy6U1KLdyqLejOy3Kn6Jh0UnxcNo75BJdmfGM5cv2fiCe5YlwzUZMwBz3s9abYTe5LY6DMG79tZ0sNrmOoxmL7sR2p5cvmqNLC2GPwjxTr1cuI1SesGG2YqZF/3DIY7ZZtHWxR7YPegrIUsoAM3sskariKWSb0=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1066</Words>
  <Characters>5869</Characters>
  <Application>Microsoft Office Word</Application>
  <DocSecurity>0</DocSecurity>
  <Lines>48</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Pablo Gutiérrez</cp:lastModifiedBy>
  <cp:revision>2</cp:revision>
  <dcterms:created xsi:type="dcterms:W3CDTF">2020-11-05T16:22:00Z</dcterms:created>
  <dcterms:modified xsi:type="dcterms:W3CDTF">2021-09-03T12:22:00Z</dcterms:modified>
</cp:coreProperties>
</file>