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886E22" w:rsidRDefault="00886E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70C0"/>
          <w:sz w:val="22"/>
          <w:szCs w:val="22"/>
          <w:u w:val="single"/>
        </w:rPr>
      </w:pPr>
    </w:p>
    <w:p w14:paraId="00000002" w14:textId="77777777" w:rsidR="00886E22" w:rsidRDefault="00FF6B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  <w:u w:val="single"/>
        </w:rPr>
        <w:t>Informe de InfoJobs sobre la Intención de Cambio de Empleo</w:t>
      </w:r>
    </w:p>
    <w:p w14:paraId="00000003" w14:textId="77777777" w:rsidR="00886E22" w:rsidRDefault="00886E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70C0"/>
          <w:sz w:val="22"/>
          <w:szCs w:val="22"/>
          <w:u w:val="single"/>
        </w:rPr>
      </w:pPr>
    </w:p>
    <w:p w14:paraId="00000004" w14:textId="6C099AF1" w:rsidR="00886E22" w:rsidRDefault="00FF6B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b/>
          <w:color w:val="0070C0"/>
          <w:sz w:val="35"/>
          <w:szCs w:val="35"/>
        </w:rPr>
      </w:pPr>
      <w:r>
        <w:rPr>
          <w:rFonts w:ascii="Arial" w:eastAsia="Arial" w:hAnsi="Arial" w:cs="Arial"/>
          <w:b/>
          <w:color w:val="0070C0"/>
          <w:sz w:val="35"/>
          <w:szCs w:val="35"/>
        </w:rPr>
        <w:t>El 41% de los jóvenes de entre 16 y 24 años tiene previsto cambiar de empleo en los próximos 6 meses, frente al 1</w:t>
      </w:r>
      <w:r w:rsidR="00304D8A">
        <w:rPr>
          <w:rFonts w:ascii="Arial" w:eastAsia="Arial" w:hAnsi="Arial" w:cs="Arial"/>
          <w:b/>
          <w:color w:val="0070C0"/>
          <w:sz w:val="35"/>
          <w:szCs w:val="35"/>
        </w:rPr>
        <w:t>5</w:t>
      </w:r>
      <w:r>
        <w:rPr>
          <w:rFonts w:ascii="Arial" w:eastAsia="Arial" w:hAnsi="Arial" w:cs="Arial"/>
          <w:b/>
          <w:color w:val="0070C0"/>
          <w:sz w:val="35"/>
          <w:szCs w:val="35"/>
        </w:rPr>
        <w:t>% del resto de la población activa</w:t>
      </w:r>
    </w:p>
    <w:p w14:paraId="00000005" w14:textId="77777777" w:rsidR="00886E22" w:rsidRDefault="00886E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b/>
          <w:color w:val="0070C0"/>
          <w:sz w:val="35"/>
          <w:szCs w:val="35"/>
        </w:rPr>
      </w:pPr>
    </w:p>
    <w:p w14:paraId="00000006" w14:textId="51608953" w:rsidR="00886E22" w:rsidRDefault="00FF6B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Estabilidad laboral en un momento de incertidumbre: el pasado año, el 20% de los profesionales tenía previsto buscar un nuevo trabajo; mientras que en 2019 el porcentaje era de hasta el 32%</w:t>
      </w:r>
    </w:p>
    <w:p w14:paraId="00000007" w14:textId="77777777" w:rsidR="00886E22" w:rsidRDefault="00FF6B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La posibilidad de teletrabajar se convierte en motivo de cambio de empleo para el 24% de los encuestados y, por el contrario, pierde peso la localización del lugar de trabajo (37% en 2020 vs 28% en 2021)</w:t>
      </w:r>
    </w:p>
    <w:p w14:paraId="00000008" w14:textId="77777777" w:rsidR="00886E22" w:rsidRDefault="00FF6BAE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En la primera mitad de este 2021, InfoJobs ha registrado 225.282 vacantes de empleo que ofrecían la posibilidad de trabajar en remoto, frente a las 101.285 vacantes de 2020</w:t>
      </w:r>
    </w:p>
    <w:p w14:paraId="00000009" w14:textId="77777777" w:rsidR="00886E22" w:rsidRDefault="00FF6B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8 de cada 10 trabajadores afirma informarse sobre la empresa antes de aplicar a una oferta laboral</w:t>
      </w:r>
    </w:p>
    <w:p w14:paraId="0000000A" w14:textId="77777777" w:rsidR="00886E22" w:rsidRDefault="00886E2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720"/>
        <w:jc w:val="both"/>
        <w:rPr>
          <w:rFonts w:ascii="Arial" w:eastAsia="Arial" w:hAnsi="Arial" w:cs="Arial"/>
          <w:color w:val="0070C0"/>
          <w:sz w:val="20"/>
          <w:szCs w:val="20"/>
        </w:rPr>
      </w:pPr>
    </w:p>
    <w:p w14:paraId="0000000B" w14:textId="77777777" w:rsidR="00886E22" w:rsidRDefault="00FF6BA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Madrid, 24 de agosto de 2021</w:t>
      </w:r>
      <w:r>
        <w:rPr>
          <w:b/>
        </w:rPr>
        <w:t xml:space="preserve"> – </w:t>
      </w:r>
      <w:r>
        <w:rPr>
          <w:rFonts w:ascii="Arial" w:eastAsia="Arial" w:hAnsi="Arial" w:cs="Arial"/>
          <w:sz w:val="20"/>
          <w:szCs w:val="20"/>
        </w:rPr>
        <w:t>En esta época del año,</w:t>
      </w:r>
      <w:r>
        <w:rPr>
          <w:b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con el final de las vacaciones cada vez más cerca y el comienzo del nuevo curso laboral, es frecuente entre los profesionales hacerse preguntas en torno a su puesto de trabajo, valorando las perspectivas de futuro del mismo y contemplando incluso la posibilidad de un cambio que suponga un paso hacia delante en su carrera profesional o vida personal. Sin ir más lejos, según recogían los datos del primer </w:t>
      </w:r>
      <w:r>
        <w:rPr>
          <w:rFonts w:ascii="Arial" w:eastAsia="Arial" w:hAnsi="Arial" w:cs="Arial"/>
          <w:b/>
          <w:sz w:val="20"/>
          <w:szCs w:val="20"/>
        </w:rPr>
        <w:t>Informe de InfoJobs sobre 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Intención de Cambio de Empleo</w:t>
      </w:r>
      <w:r>
        <w:rPr>
          <w:rFonts w:ascii="Arial" w:eastAsia="Arial" w:hAnsi="Arial" w:cs="Arial"/>
          <w:sz w:val="20"/>
          <w:szCs w:val="20"/>
        </w:rPr>
        <w:t xml:space="preserve">, en 2019, más de uno de cada tres trabajadores en España tenía previsto cambiar de empleo en los próximos meses. La llegada de la pandemia y la consiguiente inestabilidad laboral, sin embargo, han modificado significativamente esta actitud. </w:t>
      </w:r>
    </w:p>
    <w:p w14:paraId="0000000C" w14:textId="77777777" w:rsidR="00886E22" w:rsidRDefault="00886E2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D" w14:textId="131018F4" w:rsidR="00886E22" w:rsidRDefault="00FF6BA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Así, el pasado año, el porcentaje de profesionales que tenía previsto buscar un nuevo trabajo cayó al 20%, mientras que el dato de este año es tan solo el 1</w:t>
      </w:r>
      <w:r w:rsidR="00304D8A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%. No cabe duda por tanto de que, en el actual momento de incertidumbre, el trabajador español persigue la estabilidad laboral.</w:t>
      </w:r>
    </w:p>
    <w:p w14:paraId="0000000E" w14:textId="77777777" w:rsidR="00886E22" w:rsidRDefault="00886E2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F" w14:textId="77777777" w:rsidR="00886E22" w:rsidRDefault="00FF6B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2088C2"/>
          <w:sz w:val="20"/>
          <w:szCs w:val="20"/>
        </w:rPr>
      </w:pPr>
      <w:r>
        <w:rPr>
          <w:rFonts w:ascii="Arial" w:eastAsia="Arial" w:hAnsi="Arial" w:cs="Arial"/>
          <w:b/>
          <w:color w:val="2088C2"/>
          <w:sz w:val="20"/>
          <w:szCs w:val="20"/>
        </w:rPr>
        <w:t>Los jóvenes de 16 a 24 años, un caso aparte</w:t>
      </w:r>
    </w:p>
    <w:p w14:paraId="00000010" w14:textId="77777777" w:rsidR="00886E22" w:rsidRDefault="00FF6BA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Llegados a este punto, la situación de los jóvenes es muy diferente, tal y como destacan los resultados de este estudio. Y es que hasta el 41% de los profesionales de entre 16 y 24 años pretende cambiar de empleo en los próximos 6 meses. Entre las principales razones que propiciarían dicho cambio de aires destacan algunas como ampliar las competencias (43%) trabajar en un proyecto más motivante (42%) o cambiar radicalmente de rumbo laboral (26% de las menciones: diez puntos porcentuales más que la siguiente franja de edad).</w:t>
      </w:r>
    </w:p>
    <w:p w14:paraId="00000011" w14:textId="77777777" w:rsidR="00886E22" w:rsidRDefault="00886E2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2" w14:textId="77777777" w:rsidR="00886E22" w:rsidRDefault="00FF6BA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Según va creciendo la edad de la población activa, cobran peso otros puntos como la existencia de mejores condiciones para conciliar la vida familiar y profesional (50% de menciones en el caso de los trabajadores de entre 35 y 44 años) o el tener un trabajo con menor nivel de estrés (35% de las menciones en el grupo de 45 a 54 años, y 37% en la franja de 55 a 65 años).</w:t>
      </w:r>
    </w:p>
    <w:p w14:paraId="00000013" w14:textId="77777777" w:rsidR="00886E22" w:rsidRDefault="00886E2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4" w14:textId="77777777" w:rsidR="00886E22" w:rsidRDefault="00FF6B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2088C2"/>
          <w:sz w:val="20"/>
          <w:szCs w:val="20"/>
        </w:rPr>
      </w:pPr>
      <w:r>
        <w:rPr>
          <w:rFonts w:ascii="Arial" w:eastAsia="Arial" w:hAnsi="Arial" w:cs="Arial"/>
          <w:b/>
          <w:color w:val="2088C2"/>
          <w:sz w:val="20"/>
          <w:szCs w:val="20"/>
        </w:rPr>
        <w:t>El teletrabajo, razón de peso para cambiar de empleo</w:t>
      </w:r>
    </w:p>
    <w:p w14:paraId="00000015" w14:textId="77777777" w:rsidR="00886E22" w:rsidRDefault="00FF6BA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 general, las principales motivaciones que impulsan a los trabajadores españoles a plantearse un cambio de empleo son: tener un salario más elevado (74%), tener un mejor horario (45%) y tener mejores condiciones para conciliar la vida laboral y familiar (44%). En este sentido, entra también en escena la posibilidad de teletrabajar, motivo de cambio de empleo para el 24% de los encuestados y, por el contrario, pierde peso la localización del lugar de trabajo (37% en 2020 vs 28% en 2021)</w:t>
      </w:r>
    </w:p>
    <w:p w14:paraId="00000016" w14:textId="77777777" w:rsidR="00886E22" w:rsidRDefault="00886E2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7" w14:textId="77777777" w:rsidR="00886E22" w:rsidRDefault="00FF6BA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 la primera mitad de este 2021, InfoJobs ha registrado 225.282 vacantes de empleo que ofrecían a los profesionales la posibilidad de trabajar en remoto, frente a las 101.285 vacantes de 2020 durante el mismo periodo y las 23.373 de 2019. Estas cifras dejan entrever el peso que está ganando este modelo de trabajo. </w:t>
      </w:r>
      <w:r>
        <w:rPr>
          <w:rFonts w:ascii="Arial" w:eastAsia="Arial" w:hAnsi="Arial" w:cs="Arial"/>
          <w:sz w:val="20"/>
          <w:szCs w:val="20"/>
        </w:rPr>
        <w:lastRenderedPageBreak/>
        <w:t xml:space="preserve">Entre las profesiones que más vacantes incluyen con la posibilidad de teletrabajar, destacan: teleoperador/a (81.270 vacantes), agente inmobiliario (22.761 vacantes), desarrollador/a de software (19.809 vacantes) y representante comercial (17.578 vacantes). </w:t>
      </w:r>
    </w:p>
    <w:p w14:paraId="00000018" w14:textId="77777777" w:rsidR="00886E22" w:rsidRDefault="00886E2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9" w14:textId="77777777" w:rsidR="00886E22" w:rsidRDefault="00FF6BA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Del mismo modo, en lo que respecta a la actividad de búsqueda de los candidatos en cuanto a posiciones que indican el trabajo en remoto, los datos son muy significativos. Antes del estallido de la pandemia, la búsqueda de este tipo de ofertas era de 20.000 a la semana, mientras </w:t>
      </w:r>
      <w:proofErr w:type="gramStart"/>
      <w:r>
        <w:rPr>
          <w:rFonts w:ascii="Arial" w:eastAsia="Arial" w:hAnsi="Arial" w:cs="Arial"/>
          <w:sz w:val="20"/>
          <w:szCs w:val="20"/>
        </w:rPr>
        <w:t>que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 finales de abril de este año, se alcanzó el pico de 700.000 búsquedas. A fecha de hoy, las búsquedas semanales están en torno a las 150.000, a pesar de que el periodo vacacional suele ser siempre de poca actividad. </w:t>
      </w:r>
    </w:p>
    <w:p w14:paraId="0000001A" w14:textId="77777777" w:rsidR="00886E22" w:rsidRDefault="00886E2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B" w14:textId="77777777" w:rsidR="00886E22" w:rsidRDefault="00FF6BA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Por otra parte, existen también diferencias a tener en cuenta entre las motivaciones para cambiar de empleo de aquellos que teletrabajan frente a las de quienes siguen yendo a la oficina. Para los </w:t>
      </w:r>
      <w:r>
        <w:rPr>
          <w:rFonts w:ascii="Arial" w:eastAsia="Arial" w:hAnsi="Arial" w:cs="Arial"/>
          <w:b/>
          <w:sz w:val="20"/>
          <w:szCs w:val="20"/>
        </w:rPr>
        <w:t xml:space="preserve">no teletrabajadores </w:t>
      </w:r>
      <w:r>
        <w:rPr>
          <w:rFonts w:ascii="Arial" w:eastAsia="Arial" w:hAnsi="Arial" w:cs="Arial"/>
          <w:sz w:val="20"/>
          <w:szCs w:val="20"/>
        </w:rPr>
        <w:t xml:space="preserve">lo primordial es conseguir un buen horario o flexibilidad horaria para compaginar mejor la vida laboral y familiar (47%). Sin embargo, para los </w:t>
      </w:r>
      <w:r>
        <w:rPr>
          <w:rFonts w:ascii="Arial" w:eastAsia="Arial" w:hAnsi="Arial" w:cs="Arial"/>
          <w:b/>
          <w:sz w:val="20"/>
          <w:szCs w:val="20"/>
        </w:rPr>
        <w:t>teletrabajadores</w:t>
      </w:r>
      <w:r>
        <w:rPr>
          <w:rFonts w:ascii="Arial" w:eastAsia="Arial" w:hAnsi="Arial" w:cs="Arial"/>
          <w:sz w:val="20"/>
          <w:szCs w:val="20"/>
        </w:rPr>
        <w:t xml:space="preserve">, este tema no tiene tanta importancia (41%), y persiguen otros como la motivación (41%) y ampliación de competencias en un nuevo trabajo (40%). </w:t>
      </w:r>
    </w:p>
    <w:p w14:paraId="0000001C" w14:textId="77777777" w:rsidR="00886E22" w:rsidRDefault="00886E2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D" w14:textId="77777777" w:rsidR="00886E22" w:rsidRDefault="00FF6B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i/>
          <w:color w:val="2088C2"/>
          <w:sz w:val="20"/>
          <w:szCs w:val="20"/>
        </w:rPr>
      </w:pPr>
      <w:r>
        <w:rPr>
          <w:rFonts w:ascii="Arial" w:eastAsia="Arial" w:hAnsi="Arial" w:cs="Arial"/>
          <w:b/>
          <w:color w:val="2088C2"/>
          <w:sz w:val="20"/>
          <w:szCs w:val="20"/>
        </w:rPr>
        <w:t>La generación Z modifica el paradigma del</w:t>
      </w:r>
      <w:r>
        <w:rPr>
          <w:rFonts w:ascii="Arial" w:eastAsia="Arial" w:hAnsi="Arial" w:cs="Arial"/>
          <w:b/>
          <w:i/>
          <w:color w:val="2088C2"/>
          <w:sz w:val="20"/>
          <w:szCs w:val="20"/>
        </w:rPr>
        <w:t xml:space="preserve"> Employer Branding</w:t>
      </w:r>
    </w:p>
    <w:p w14:paraId="0000001E" w14:textId="77777777" w:rsidR="00886E22" w:rsidRDefault="00FF6BA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 herramienta más importante con la que cuentan las empresas para evitar la fuga de talento y lograr que los profesionales se desarrollen dentro de la compañía es el denominado </w:t>
      </w:r>
      <w:r>
        <w:rPr>
          <w:rFonts w:ascii="Arial" w:eastAsia="Arial" w:hAnsi="Arial" w:cs="Arial"/>
          <w:i/>
          <w:sz w:val="20"/>
          <w:szCs w:val="20"/>
        </w:rPr>
        <w:t>employer branding</w:t>
      </w:r>
      <w:r>
        <w:rPr>
          <w:rFonts w:ascii="Arial" w:eastAsia="Arial" w:hAnsi="Arial" w:cs="Arial"/>
          <w:sz w:val="20"/>
          <w:szCs w:val="20"/>
        </w:rPr>
        <w:t>. Así, 8 de cada 10 trabajadores afirma informarse sobre la empresa antes de aplicar a una oferta laboral. Para ello, suelen acudir a diferentes canales de búsqueda de información: la web de la entidad (54%), foros de opinión, blogs y noticias de prensa (53%), portales de empleo que incluyen valoraciones de la compañía en cuestión (46%), contactos y amigos (41%) o las redes sociales de la marca (39%). En este sentido, se aprecia que los jóvenes de entre 16 y 34 años consultan en mayor medida esta última fuente de información (45,5% de las menciones).</w:t>
      </w:r>
    </w:p>
    <w:p w14:paraId="0000001F" w14:textId="77777777" w:rsidR="00886E22" w:rsidRDefault="00886E2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0" w14:textId="77777777" w:rsidR="00886E22" w:rsidRDefault="00FF6BA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Respecto a lo que más valoran los trabajadores de la imagen de una empresa, premia que la compañía sea solvente/segura (59%), que sea flexible (48%) y que apueste por el desarrollo profesional de los talentos (47%). En este punto, se observan igualmente resultados significativos por rango de edad. La denominada generación Z (16-24 años) apuesta de forma notoria por la diversidad dentro de la empresa (25% de menciones frente al 14% de media) y porque esta tenga un espíritu joven (31% de menciones frente al 13% de media). </w:t>
      </w:r>
    </w:p>
    <w:p w14:paraId="00000021" w14:textId="77777777" w:rsidR="00886E22" w:rsidRDefault="00886E2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2" w14:textId="77777777" w:rsidR="00886E22" w:rsidRDefault="00FF6BA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Finalmente, los profesionales de entre 35 y 44 años valoran más la flexibilidad (55% de las menciones frente al 48% de media), y los trabajadores de entre 45 y 65 años prefieren que la entidad sea solvente/segura (67,5% de las menciones frente al 36% de menciones de la generación Z).</w:t>
      </w:r>
    </w:p>
    <w:p w14:paraId="00000023" w14:textId="77777777" w:rsidR="00886E22" w:rsidRDefault="00886E2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4" w14:textId="77777777" w:rsidR="00886E22" w:rsidRDefault="00FF6B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i/>
          <w:color w:val="2088C2"/>
          <w:sz w:val="20"/>
          <w:szCs w:val="20"/>
        </w:rPr>
      </w:pPr>
      <w:r>
        <w:rPr>
          <w:rFonts w:ascii="Calibri" w:eastAsia="Calibri" w:hAnsi="Calibri" w:cs="Calibri"/>
          <w:b/>
          <w:i/>
          <w:color w:val="2088C2"/>
          <w:sz w:val="20"/>
          <w:szCs w:val="20"/>
        </w:rPr>
        <w:t>*Nota metodológica del informe:</w:t>
      </w:r>
    </w:p>
    <w:p w14:paraId="00000025" w14:textId="77777777" w:rsidR="00886E22" w:rsidRDefault="00FF6BAE">
      <w:pPr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Los datos de población activa también se han extraído con una encuesta online autoadministrada (CAWI) a través de un panel con un cuestionario estructurado de una duración aproximada de 15 minutos. La muestra ha sido de 4.742 panelistas que componen una distribución proporcional y representativa de la población nacional de 16 a 65 años y guiada por cuotas de sexo, edad y región y ocupación. El margen de error es de +/- 1,4% para un intervalo de confianza del 95%</w:t>
      </w:r>
    </w:p>
    <w:p w14:paraId="00000026" w14:textId="77777777" w:rsidR="00886E22" w:rsidRDefault="00886E22">
      <w:pPr>
        <w:spacing w:line="276" w:lineRule="auto"/>
        <w:jc w:val="center"/>
        <w:rPr>
          <w:rFonts w:ascii="Arial" w:eastAsia="Arial" w:hAnsi="Arial" w:cs="Arial"/>
          <w:sz w:val="18"/>
          <w:szCs w:val="18"/>
        </w:rPr>
      </w:pPr>
    </w:p>
    <w:p w14:paraId="00000027" w14:textId="77777777" w:rsidR="00886E22" w:rsidRDefault="00FF6B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808080"/>
          <w:sz w:val="16"/>
          <w:szCs w:val="16"/>
        </w:rPr>
      </w:pPr>
      <w:r>
        <w:rPr>
          <w:rFonts w:ascii="Arial" w:eastAsia="Arial" w:hAnsi="Arial" w:cs="Arial"/>
          <w:color w:val="808080"/>
          <w:sz w:val="16"/>
          <w:szCs w:val="16"/>
        </w:rPr>
        <w:t>Sobre InfoJobs</w:t>
      </w:r>
    </w:p>
    <w:p w14:paraId="00000028" w14:textId="77777777" w:rsidR="00886E22" w:rsidRDefault="00FF6B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808080"/>
          <w:sz w:val="16"/>
          <w:szCs w:val="16"/>
        </w:rPr>
        <w:t>Plataforma líder en España para encontrar las mejores oportunidades profesionales y el mejor talento. En el último año, InfoJobs ha publicado más de 1,5 millones de posiciones vacantes. Cuenta cada mes con 40 millones de visitas (más del 80% proceden de dispositivos móviles) y cerca de 6 millones de usuarios activos. (Fuente datos: Adobe Analytics Feb 2021).</w:t>
      </w:r>
    </w:p>
    <w:p w14:paraId="00000029" w14:textId="77777777" w:rsidR="00886E22" w:rsidRDefault="00886E22"/>
    <w:p w14:paraId="0000002A" w14:textId="77777777" w:rsidR="00886E22" w:rsidRDefault="00FF6B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808080"/>
          <w:sz w:val="16"/>
          <w:szCs w:val="16"/>
        </w:rPr>
        <w:t>InfoJobs pertenece a Adevinta, compañía líder en marketplaces digitales y una de las principales empresas del sector tecnológico del país, con más de 18 millones de usuarios al mes en sus plataformas de los sectores inmobiliario (</w:t>
      </w:r>
      <w:hyperlink r:id="rId8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Fotocasa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 xml:space="preserve"> y </w:t>
      </w:r>
      <w:hyperlink r:id="rId9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habitaclia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), empleo (</w:t>
      </w:r>
      <w:hyperlink r:id="rId10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InfoJobs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), motor (</w:t>
      </w:r>
      <w:hyperlink r:id="rId11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coches.net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 xml:space="preserve"> y </w:t>
      </w:r>
      <w:hyperlink r:id="rId12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motos.net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 y compraventa de artículos de segunda mano (</w:t>
      </w:r>
      <w:hyperlink r:id="rId13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Milanuncios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).</w:t>
      </w:r>
    </w:p>
    <w:p w14:paraId="0000002B" w14:textId="77777777" w:rsidR="00886E22" w:rsidRDefault="00FF6B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808080"/>
          <w:sz w:val="16"/>
          <w:szCs w:val="16"/>
        </w:rPr>
        <w:t> </w:t>
      </w:r>
    </w:p>
    <w:p w14:paraId="0000002C" w14:textId="77777777" w:rsidR="00886E22" w:rsidRDefault="00886E22">
      <w:pPr>
        <w:jc w:val="both"/>
        <w:rPr>
          <w:rFonts w:ascii="Arial" w:eastAsia="Arial" w:hAnsi="Arial" w:cs="Arial"/>
          <w:color w:val="808080"/>
          <w:sz w:val="16"/>
          <w:szCs w:val="16"/>
        </w:rPr>
      </w:pPr>
    </w:p>
    <w:p w14:paraId="0000002D" w14:textId="77777777" w:rsidR="00886E22" w:rsidRDefault="00FF6BAE">
      <w:pPr>
        <w:jc w:val="both"/>
        <w:rPr>
          <w:rFonts w:ascii="Arial" w:eastAsia="Arial" w:hAnsi="Arial" w:cs="Arial"/>
          <w:color w:val="808080"/>
          <w:sz w:val="16"/>
          <w:szCs w:val="16"/>
        </w:rPr>
      </w:pPr>
      <w:r>
        <w:rPr>
          <w:rFonts w:ascii="Arial" w:eastAsia="Arial" w:hAnsi="Arial" w:cs="Arial"/>
          <w:color w:val="808080"/>
          <w:sz w:val="16"/>
          <w:szCs w:val="16"/>
        </w:rPr>
        <w:t xml:space="preserve">Adevinta tiene presencia mundial en 16 países. En España cuenta con una plantilla de 1.100 empleados, comprometidos con fomentar un cambio positivo en el mundo a través de tecnología innovadora, otorgando una nueva oportunidad a quienes la están buscando y dando a las cosas una segunda vida. El conjunto de sus plataformas locales recibe un promedio de 3.000 millones de visitas cada mes. Más información en </w:t>
      </w:r>
      <w:hyperlink r:id="rId14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adevinta.es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.</w:t>
      </w:r>
    </w:p>
    <w:p w14:paraId="0000002E" w14:textId="77777777" w:rsidR="00886E22" w:rsidRDefault="00FF6BAE">
      <w:pPr>
        <w:spacing w:line="252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lastRenderedPageBreak/>
        <w:t xml:space="preserve">   </w:t>
      </w:r>
    </w:p>
    <w:p w14:paraId="0000002F" w14:textId="77777777" w:rsidR="00886E22" w:rsidRDefault="00FF6BAE">
      <w:pPr>
        <w:spacing w:line="360" w:lineRule="auto"/>
        <w:jc w:val="both"/>
        <w:rPr>
          <w:rFonts w:ascii="Arial" w:eastAsia="Arial" w:hAnsi="Arial" w:cs="Arial"/>
          <w:b/>
          <w:color w:val="7F7F7F"/>
          <w:sz w:val="18"/>
          <w:szCs w:val="18"/>
        </w:rPr>
      </w:pPr>
      <w:r>
        <w:rPr>
          <w:rFonts w:ascii="Arial" w:eastAsia="Arial" w:hAnsi="Arial" w:cs="Arial"/>
          <w:b/>
          <w:color w:val="7F7F7F"/>
          <w:sz w:val="18"/>
          <w:szCs w:val="18"/>
        </w:rPr>
        <w:t>Contacto</w:t>
      </w:r>
      <w:r>
        <w:rPr>
          <w:rFonts w:ascii="Arial" w:eastAsia="Arial" w:hAnsi="Arial" w:cs="Arial"/>
          <w:color w:val="7F7F7F"/>
          <w:sz w:val="18"/>
          <w:szCs w:val="18"/>
        </w:rPr>
        <w:t>:</w:t>
      </w:r>
    </w:p>
    <w:p w14:paraId="00000030" w14:textId="77777777" w:rsidR="00886E22" w:rsidRDefault="00FF6B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trike/>
          <w:color w:val="FF0000"/>
          <w:sz w:val="18"/>
          <w:szCs w:val="18"/>
        </w:rPr>
      </w:pPr>
      <w:r>
        <w:rPr>
          <w:rFonts w:ascii="Arial" w:eastAsia="Arial" w:hAnsi="Arial" w:cs="Arial"/>
          <w:b/>
          <w:color w:val="7F7F7F"/>
          <w:sz w:val="18"/>
          <w:szCs w:val="18"/>
        </w:rPr>
        <w:t>InfoJobs</w:t>
      </w:r>
      <w:r>
        <w:rPr>
          <w:rFonts w:ascii="Arial" w:eastAsia="Arial" w:hAnsi="Arial" w:cs="Arial"/>
          <w:color w:val="7F7F7F"/>
          <w:sz w:val="18"/>
          <w:szCs w:val="18"/>
        </w:rPr>
        <w:t>: Mónica Pérez Callejo</w:t>
      </w:r>
      <w:r>
        <w:rPr>
          <w:rFonts w:ascii="Arial" w:eastAsia="Arial" w:hAnsi="Arial" w:cs="Arial"/>
          <w:color w:val="7F7F7F"/>
          <w:sz w:val="18"/>
          <w:szCs w:val="18"/>
        </w:rPr>
        <w:tab/>
      </w:r>
      <w:proofErr w:type="gramStart"/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 </w:t>
      </w:r>
      <w:r>
        <w:rPr>
          <w:rFonts w:ascii="Arial" w:eastAsia="Arial" w:hAnsi="Arial" w:cs="Arial"/>
          <w:color w:val="808080"/>
          <w:sz w:val="18"/>
          <w:szCs w:val="18"/>
        </w:rPr>
        <w:tab/>
      </w:r>
      <w:proofErr w:type="gramEnd"/>
      <w:r>
        <w:rPr>
          <w:rFonts w:ascii="Arial" w:eastAsia="Arial" w:hAnsi="Arial" w:cs="Arial"/>
          <w:color w:val="808080"/>
          <w:sz w:val="18"/>
          <w:szCs w:val="18"/>
        </w:rPr>
        <w:t xml:space="preserve">  </w:t>
      </w:r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b/>
          <w:color w:val="7F7F7F"/>
          <w:sz w:val="18"/>
          <w:szCs w:val="18"/>
        </w:rPr>
        <w:t>Evercom</w:t>
      </w:r>
      <w:r>
        <w:rPr>
          <w:rFonts w:ascii="Arial" w:eastAsia="Arial" w:hAnsi="Arial" w:cs="Arial"/>
          <w:color w:val="7F7F7F"/>
          <w:sz w:val="18"/>
          <w:szCs w:val="18"/>
        </w:rPr>
        <w:t>: Pablo Gutiérrez / Albert Cuesta</w:t>
      </w:r>
    </w:p>
    <w:p w14:paraId="00000031" w14:textId="77777777" w:rsidR="00886E22" w:rsidRDefault="00304D8A">
      <w:pPr>
        <w:jc w:val="both"/>
        <w:rPr>
          <w:rFonts w:ascii="Arial" w:eastAsia="Arial" w:hAnsi="Arial" w:cs="Arial"/>
          <w:color w:val="7F7F7F"/>
          <w:sz w:val="18"/>
          <w:szCs w:val="18"/>
        </w:rPr>
      </w:pPr>
      <w:hyperlink r:id="rId15">
        <w:r w:rsidR="00FF6BAE">
          <w:rPr>
            <w:rFonts w:ascii="Arial" w:eastAsia="Arial" w:hAnsi="Arial" w:cs="Arial"/>
            <w:b/>
            <w:color w:val="0070C0"/>
            <w:sz w:val="18"/>
            <w:szCs w:val="18"/>
          </w:rPr>
          <w:t>prensa@infojobs.net</w:t>
        </w:r>
      </w:hyperlink>
      <w:r w:rsidR="00FF6BAE">
        <w:rPr>
          <w:rFonts w:ascii="Arial" w:eastAsia="Arial" w:hAnsi="Arial" w:cs="Arial"/>
          <w:color w:val="4F81BD"/>
          <w:sz w:val="18"/>
          <w:szCs w:val="18"/>
        </w:rPr>
        <w:tab/>
      </w:r>
      <w:r w:rsidR="00FF6BAE">
        <w:rPr>
          <w:rFonts w:ascii="Arial" w:eastAsia="Arial" w:hAnsi="Arial" w:cs="Arial"/>
          <w:color w:val="4F81BD"/>
          <w:sz w:val="18"/>
          <w:szCs w:val="18"/>
        </w:rPr>
        <w:tab/>
      </w:r>
      <w:r w:rsidR="00FF6BAE">
        <w:rPr>
          <w:rFonts w:ascii="Arial" w:eastAsia="Arial" w:hAnsi="Arial" w:cs="Arial"/>
          <w:color w:val="4F81BD"/>
          <w:sz w:val="18"/>
          <w:szCs w:val="18"/>
        </w:rPr>
        <w:tab/>
      </w:r>
      <w:r w:rsidR="00FF6BAE">
        <w:rPr>
          <w:rFonts w:ascii="Arial" w:eastAsia="Arial" w:hAnsi="Arial" w:cs="Arial"/>
          <w:color w:val="4F81BD"/>
          <w:sz w:val="18"/>
          <w:szCs w:val="18"/>
        </w:rPr>
        <w:tab/>
        <w:t xml:space="preserve"> </w:t>
      </w:r>
      <w:r w:rsidR="00FF6BAE">
        <w:rPr>
          <w:rFonts w:ascii="Arial" w:eastAsia="Arial" w:hAnsi="Arial" w:cs="Arial"/>
          <w:color w:val="4F81BD"/>
          <w:sz w:val="18"/>
          <w:szCs w:val="18"/>
        </w:rPr>
        <w:tab/>
        <w:t xml:space="preserve"> </w:t>
      </w:r>
      <w:hyperlink r:id="rId16">
        <w:r w:rsidR="00FF6BAE">
          <w:rPr>
            <w:rFonts w:ascii="Arial" w:eastAsia="Arial" w:hAnsi="Arial" w:cs="Arial"/>
            <w:b/>
            <w:color w:val="0070C0"/>
            <w:sz w:val="18"/>
            <w:szCs w:val="18"/>
          </w:rPr>
          <w:t>infojobs@evercom.es</w:t>
        </w:r>
      </w:hyperlink>
      <w:r w:rsidR="00FF6BAE">
        <w:rPr>
          <w:rFonts w:ascii="Arial" w:eastAsia="Arial" w:hAnsi="Arial" w:cs="Arial"/>
          <w:color w:val="0070C0"/>
          <w:sz w:val="18"/>
          <w:szCs w:val="18"/>
        </w:rPr>
        <w:t xml:space="preserve">  </w:t>
      </w:r>
    </w:p>
    <w:p w14:paraId="00000032" w14:textId="77777777" w:rsidR="00886E22" w:rsidRDefault="00FF6B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t xml:space="preserve">     </w:t>
      </w:r>
      <w:r>
        <w:rPr>
          <w:rFonts w:ascii="Arial" w:eastAsia="Arial" w:hAnsi="Arial" w:cs="Arial"/>
          <w:color w:val="808080"/>
          <w:sz w:val="16"/>
          <w:szCs w:val="16"/>
        </w:rPr>
        <w:t>   </w:t>
      </w:r>
      <w:r>
        <w:rPr>
          <w:rFonts w:ascii="Arial" w:eastAsia="Arial" w:hAnsi="Arial" w:cs="Arial"/>
          <w:color w:val="808080"/>
          <w:sz w:val="16"/>
          <w:szCs w:val="16"/>
        </w:rPr>
        <w:tab/>
        <w:t xml:space="preserve">                    </w:t>
      </w:r>
      <w:r>
        <w:rPr>
          <w:rFonts w:ascii="Arial" w:eastAsia="Arial" w:hAnsi="Arial" w:cs="Arial"/>
          <w:color w:val="808080"/>
          <w:sz w:val="16"/>
          <w:szCs w:val="16"/>
        </w:rPr>
        <w:tab/>
      </w:r>
      <w:r>
        <w:rPr>
          <w:rFonts w:ascii="Arial" w:eastAsia="Arial" w:hAnsi="Arial" w:cs="Arial"/>
          <w:color w:val="808080"/>
          <w:sz w:val="16"/>
          <w:szCs w:val="16"/>
        </w:rPr>
        <w:tab/>
      </w:r>
      <w:r>
        <w:rPr>
          <w:rFonts w:ascii="Arial" w:eastAsia="Arial" w:hAnsi="Arial" w:cs="Arial"/>
          <w:color w:val="808080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color w:val="808080"/>
          <w:sz w:val="16"/>
          <w:szCs w:val="16"/>
        </w:rPr>
        <w:tab/>
        <w:t xml:space="preserve">                 T. </w:t>
      </w:r>
      <w:r>
        <w:rPr>
          <w:rFonts w:ascii="Arial" w:eastAsia="Arial" w:hAnsi="Arial" w:cs="Arial"/>
          <w:color w:val="7F7F7F"/>
          <w:sz w:val="18"/>
          <w:szCs w:val="18"/>
        </w:rPr>
        <w:t>34 93 415 37 05 - 676 86 98 56</w:t>
      </w:r>
    </w:p>
    <w:sectPr w:rsidR="00886E22">
      <w:headerReference w:type="default" r:id="rId17"/>
      <w:pgSz w:w="11906" w:h="16838"/>
      <w:pgMar w:top="1134" w:right="1133" w:bottom="1134" w:left="1418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44977" w14:textId="77777777" w:rsidR="00E56523" w:rsidRDefault="00FF6BAE">
      <w:r>
        <w:separator/>
      </w:r>
    </w:p>
  </w:endnote>
  <w:endnote w:type="continuationSeparator" w:id="0">
    <w:p w14:paraId="2751ED0A" w14:textId="77777777" w:rsidR="00E56523" w:rsidRDefault="00FF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34E46" w14:textId="77777777" w:rsidR="00E56523" w:rsidRDefault="00FF6BAE">
      <w:r>
        <w:separator/>
      </w:r>
    </w:p>
  </w:footnote>
  <w:footnote w:type="continuationSeparator" w:id="0">
    <w:p w14:paraId="46276304" w14:textId="77777777" w:rsidR="00E56523" w:rsidRDefault="00FF6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886E22" w:rsidRDefault="00FF6B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3A7AB2"/>
        <w:sz w:val="28"/>
        <w:szCs w:val="28"/>
      </w:rPr>
    </w:pPr>
    <w:r>
      <w:rPr>
        <w:rFonts w:ascii="Arial" w:eastAsia="Arial" w:hAnsi="Arial" w:cs="Arial"/>
        <w:noProof/>
        <w:color w:val="3A7AB2"/>
        <w:sz w:val="28"/>
        <w:szCs w:val="28"/>
      </w:rPr>
      <w:drawing>
        <wp:inline distT="0" distB="0" distL="0" distR="0">
          <wp:extent cx="972902" cy="246830"/>
          <wp:effectExtent l="0" t="0" r="0" b="0"/>
          <wp:docPr id="8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2902" cy="246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3A7AB2"/>
        <w:sz w:val="28"/>
        <w:szCs w:val="28"/>
      </w:rPr>
      <w:t xml:space="preserve">  </w:t>
    </w:r>
    <w:r>
      <w:rPr>
        <w:noProof/>
      </w:rPr>
      <w:drawing>
        <wp:anchor distT="152400" distB="152400" distL="152400" distR="152400" simplePos="0" relativeHeight="251658240" behindDoc="0" locked="0" layoutInCell="1" hidden="0" allowOverlap="1">
          <wp:simplePos x="0" y="0"/>
          <wp:positionH relativeFrom="column">
            <wp:posOffset>5520690</wp:posOffset>
          </wp:positionH>
          <wp:positionV relativeFrom="paragraph">
            <wp:posOffset>-452117</wp:posOffset>
          </wp:positionV>
          <wp:extent cx="720001" cy="720001"/>
          <wp:effectExtent l="0" t="0" r="0" b="0"/>
          <wp:wrapSquare wrapText="bothSides" distT="152400" distB="152400" distL="152400" distR="152400"/>
          <wp:docPr id="8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1" cy="720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4" w14:textId="77777777" w:rsidR="00886E22" w:rsidRDefault="00FF6B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3A7AB2"/>
        <w:sz w:val="32"/>
        <w:szCs w:val="32"/>
        <w:u w:val="single"/>
      </w:rPr>
    </w:pPr>
    <w:r>
      <w:rPr>
        <w:rFonts w:ascii="Arial" w:eastAsia="Arial" w:hAnsi="Arial" w:cs="Arial"/>
        <w:color w:val="66666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E22F9"/>
    <w:multiLevelType w:val="multilevel"/>
    <w:tmpl w:val="E5A0E7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22"/>
    <w:rsid w:val="00304D8A"/>
    <w:rsid w:val="00886E22"/>
    <w:rsid w:val="00E56523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77F7"/>
  <w15:docId w15:val="{8AA898B8-CDBD-4A09-9B1D-ACC8037B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pBdr>
        <w:top w:val="nil"/>
        <w:left w:val="nil"/>
        <w:bottom w:val="nil"/>
        <w:right w:val="nil"/>
        <w:between w:val="nil"/>
      </w:pBdr>
    </w:pPr>
    <w:rPr>
      <w:rFonts w:ascii="Helvetica Neue" w:eastAsia="Helvetica Neue" w:hAnsi="Helvetica Neue" w:cs="Helvetica Neue"/>
      <w:b/>
      <w:color w:val="000000"/>
      <w:sz w:val="60"/>
      <w:szCs w:val="6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A5694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qFormat/>
    <w:rsid w:val="00A97D9F"/>
    <w:pPr>
      <w:ind w:left="720"/>
      <w:contextualSpacing/>
    </w:pPr>
  </w:style>
  <w:style w:type="character" w:styleId="Refdecomentario">
    <w:name w:val="annotation reference"/>
    <w:unhideWhenUsed/>
    <w:qFormat/>
    <w:rPr>
      <w:sz w:val="16"/>
      <w:szCs w:val="16"/>
    </w:rPr>
  </w:style>
  <w:style w:type="paragraph" w:styleId="Textocomentario">
    <w:name w:val="annotation text"/>
    <w:basedOn w:val="Normal"/>
    <w:link w:val="TextocomentarioCar1"/>
    <w:unhideWhenUsed/>
    <w:qFormat/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rsid w:val="006507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6507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73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85E8D"/>
    <w:rPr>
      <w:color w:val="0000FF"/>
      <w:u w:val="single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rPr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0408C"/>
    <w:rPr>
      <w:b/>
      <w:bCs/>
    </w:rPr>
  </w:style>
  <w:style w:type="paragraph" w:customStyle="1" w:styleId="Cuadrculamedia21">
    <w:name w:val="Cuadrícula media 21"/>
    <w:link w:val="Cuadrculamedia2Car"/>
    <w:uiPriority w:val="1"/>
    <w:qFormat/>
    <w:rsid w:val="00610F22"/>
    <w:rPr>
      <w:rFonts w:ascii="Calibri" w:hAnsi="Calibri"/>
      <w:sz w:val="22"/>
      <w:szCs w:val="22"/>
      <w:lang w:val="es-ES" w:eastAsia="en-US"/>
    </w:rPr>
  </w:style>
  <w:style w:type="character" w:customStyle="1" w:styleId="Cuadrculamedia2Car">
    <w:name w:val="Cuadrícula media 2 Car"/>
    <w:link w:val="Cuadrculamedia21"/>
    <w:uiPriority w:val="1"/>
    <w:locked/>
    <w:rsid w:val="00610F22"/>
    <w:rPr>
      <w:rFonts w:ascii="Calibri" w:hAnsi="Calibri"/>
      <w:sz w:val="22"/>
      <w:szCs w:val="22"/>
      <w:lang w:val="es-ES" w:eastAsia="en-US"/>
    </w:rPr>
  </w:style>
  <w:style w:type="character" w:customStyle="1" w:styleId="qowt-font1-calibri">
    <w:name w:val="qowt-font1-calibri"/>
    <w:rsid w:val="00610F2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577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95E5D"/>
    <w:rPr>
      <w:color w:val="800080" w:themeColor="followedHyperlink"/>
      <w:u w:val="single"/>
    </w:rPr>
  </w:style>
  <w:style w:type="character" w:customStyle="1" w:styleId="Ninguno">
    <w:name w:val="Ninguno"/>
    <w:rsid w:val="00E010BC"/>
    <w:rPr>
      <w:lang w:val="es-ES_tradnl"/>
    </w:rPr>
  </w:style>
  <w:style w:type="paragraph" w:customStyle="1" w:styleId="Destacado">
    <w:name w:val="Destacado"/>
    <w:rsid w:val="00E010BC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" w:eastAsia="Arial Unicode MS" w:hAnsi="Arial" w:cs="Arial Unicode MS"/>
      <w:color w:val="3A7AB2"/>
      <w:sz w:val="32"/>
      <w:szCs w:val="32"/>
      <w:u w:color="000000"/>
      <w:bdr w:val="nil"/>
    </w:rPr>
  </w:style>
  <w:style w:type="paragraph" w:styleId="Encabezado">
    <w:name w:val="header"/>
    <w:basedOn w:val="Normal"/>
    <w:link w:val="EncabezadoCar"/>
    <w:uiPriority w:val="99"/>
    <w:unhideWhenUsed/>
    <w:rsid w:val="00FE6A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6A7D"/>
  </w:style>
  <w:style w:type="paragraph" w:styleId="Piedepgina">
    <w:name w:val="footer"/>
    <w:basedOn w:val="Normal"/>
    <w:link w:val="PiedepginaCar"/>
    <w:uiPriority w:val="99"/>
    <w:unhideWhenUsed/>
    <w:rsid w:val="00FE6A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A7D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2326C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56064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16E0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16E0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16E0C"/>
    <w:rPr>
      <w:vertAlign w:val="superscript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3B4F62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E1DF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E1DF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E1DF2"/>
    <w:rPr>
      <w:vertAlign w:val="superscript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4E4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tocasa.es/es/" TargetMode="External"/><Relationship Id="rId13" Type="http://schemas.openxmlformats.org/officeDocument/2006/relationships/hyperlink" Target="https://www.milanuncios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tos.coches.net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fojobs@evercom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ches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nsa@infojobs.net" TargetMode="External"/><Relationship Id="rId10" Type="http://schemas.openxmlformats.org/officeDocument/2006/relationships/hyperlink" Target="https://www.infojobs.ne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abitaclia.com/" TargetMode="External"/><Relationship Id="rId14" Type="http://schemas.openxmlformats.org/officeDocument/2006/relationships/hyperlink" Target="https://www.adevinta.com/es/spai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CmdOvBHaCDnPHutST5fx/iikww==">AMUW2mVCglTS/bCxYo6H3lxfNbDCUHgk3WlaztSWHwu+jIsgBprVgd9y9z7WWlxCOy8UTzefYXl6wRVDbdjDhnNAqxJsM8G3PEjMRywoU0rMFzLe7SIBYvMPQGhNplZnNHFfnVH2vMgZrYFTUlw2FW63Dl9p85SfcmcSkYmHyskqp9IRcVMEcNC55knLla8j128aHhMKm/m5b/8XqxIrprD4k59pSsZijZZ1exTVyqrSXaZxGnQo8eJI0v31pWzCwn/nnUTeQDnRUaVdBGXKLDlpg75Sn984o1uSCHTkfBbu6Lpqx3vQM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1378</Words>
  <Characters>7585</Characters>
  <Application>Microsoft Office Word</Application>
  <DocSecurity>0</DocSecurity>
  <Lines>63</Lines>
  <Paragraphs>17</Paragraphs>
  <ScaleCrop>false</ScaleCrop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 Casas</dc:creator>
  <cp:lastModifiedBy>Pablo Gutiérrez</cp:lastModifiedBy>
  <cp:revision>3</cp:revision>
  <dcterms:created xsi:type="dcterms:W3CDTF">2020-11-05T16:22:00Z</dcterms:created>
  <dcterms:modified xsi:type="dcterms:W3CDTF">2021-08-23T08:03:00Z</dcterms:modified>
</cp:coreProperties>
</file>