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Arial" w:cs="Arial" w:eastAsia="Arial" w:hAnsi="Arial"/>
          <w:color w:val="0070c0"/>
          <w:sz w:val="50"/>
          <w:szCs w:val="50"/>
        </w:rPr>
      </w:pPr>
      <w:r w:rsidDel="00000000" w:rsidR="00000000" w:rsidRPr="00000000">
        <w:rPr>
          <w:rFonts w:ascii="Arial" w:cs="Arial" w:eastAsia="Arial" w:hAnsi="Arial"/>
          <w:color w:val="0070c0"/>
          <w:sz w:val="50"/>
          <w:szCs w:val="50"/>
          <w:rtl w:val="0"/>
        </w:rPr>
        <w:t xml:space="preserve">Las vacantes de empleo en InfoJobs cayeron un 13,6% en diciembre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El sector Turismo y Restauración, con 10.058 puestos menos (-82,9%), es el más castigado en relación al mismo periodo del año anterior.</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70c0"/>
          <w:sz w:val="20"/>
          <w:szCs w:val="20"/>
          <w:u w:val="none"/>
          <w:shd w:fill="auto" w:val="clear"/>
          <w:vertAlign w:val="baseline"/>
        </w:rPr>
      </w:pPr>
      <w:r w:rsidDel="00000000" w:rsidR="00000000" w:rsidRPr="00000000">
        <w:rPr>
          <w:rFonts w:ascii="Arial" w:cs="Arial" w:eastAsia="Arial" w:hAnsi="Arial"/>
          <w:b w:val="1"/>
          <w:i w:val="0"/>
          <w:smallCaps w:val="0"/>
          <w:strike w:val="0"/>
          <w:color w:val="0070c0"/>
          <w:sz w:val="20"/>
          <w:szCs w:val="20"/>
          <w:u w:val="none"/>
          <w:shd w:fill="auto" w:val="clear"/>
          <w:vertAlign w:val="baseline"/>
          <w:rtl w:val="0"/>
        </w:rPr>
        <w:t xml:space="preserve">Las categorías Comercial y ventas, Compras, logística y almacén, y Atención a clientes, representan casi la mitad de ofertas de empleo (46,1%) en la plataforma.  </w:t>
      </w:r>
    </w:p>
    <w:p w:rsidR="00000000" w:rsidDel="00000000" w:rsidP="00000000" w:rsidRDefault="00000000" w:rsidRPr="00000000" w14:paraId="00000005">
      <w:pPr>
        <w:numPr>
          <w:ilvl w:val="0"/>
          <w:numId w:val="1"/>
        </w:numPr>
        <w:spacing w:line="276" w:lineRule="auto"/>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La variación interanual registrada por la plataforma en el último mes es de un -23,1%, con un total de 33.665 ofertas menos que en diciembre de 2019.</w:t>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360" w:firstLine="0"/>
        <w:jc w:val="both"/>
        <w:rPr>
          <w:rFonts w:ascii="Arial" w:cs="Arial" w:eastAsia="Arial" w:hAnsi="Arial"/>
          <w:b w:val="1"/>
          <w:color w:val="0070c0"/>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0"/>
          <w:szCs w:val="20"/>
        </w:rPr>
      </w:pPr>
      <w:r w:rsidDel="00000000" w:rsidR="00000000" w:rsidRPr="00000000">
        <w:rPr>
          <w:rFonts w:ascii="Arial" w:cs="Arial" w:eastAsia="Arial" w:hAnsi="Arial"/>
          <w:b w:val="1"/>
          <w:color w:val="000000"/>
          <w:sz w:val="20"/>
          <w:szCs w:val="20"/>
          <w:rtl w:val="0"/>
        </w:rPr>
        <w:t xml:space="preserve">Madrid, a 11 de enero de 2021</w:t>
      </w:r>
      <w:r w:rsidDel="00000000" w:rsidR="00000000" w:rsidRPr="00000000">
        <w:rPr>
          <w:rFonts w:ascii="Arial" w:cs="Arial" w:eastAsia="Arial" w:hAnsi="Arial"/>
          <w:b w:val="1"/>
          <w:color w:val="000000"/>
          <w:sz w:val="20"/>
          <w:szCs w:val="20"/>
          <w:highlight w:val="white"/>
          <w:rtl w:val="0"/>
        </w:rPr>
        <w:t xml:space="preserve">.- </w:t>
      </w:r>
      <w:hyperlink r:id="rId7">
        <w:r w:rsidDel="00000000" w:rsidR="00000000" w:rsidRPr="00000000">
          <w:rPr>
            <w:rFonts w:ascii="Arial" w:cs="Arial" w:eastAsia="Arial" w:hAnsi="Arial"/>
            <w:color w:val="0070c0"/>
            <w:sz w:val="20"/>
            <w:szCs w:val="20"/>
            <w:highlight w:val="white"/>
            <w:u w:val="single"/>
            <w:rtl w:val="0"/>
          </w:rPr>
          <w:t xml:space="preserve">InfoJobs</w:t>
        </w:r>
      </w:hyperlink>
      <w:r w:rsidDel="00000000" w:rsidR="00000000" w:rsidRPr="00000000">
        <w:rPr>
          <w:rFonts w:ascii="Arial" w:cs="Arial" w:eastAsia="Arial" w:hAnsi="Arial"/>
          <w:color w:val="000000"/>
          <w:sz w:val="20"/>
          <w:szCs w:val="20"/>
          <w:highlight w:val="white"/>
          <w:rtl w:val="0"/>
        </w:rPr>
        <w:t xml:space="preserve">, plataforma líder en empleo en España,</w:t>
      </w:r>
      <w:r w:rsidDel="00000000" w:rsidR="00000000" w:rsidRPr="00000000">
        <w:rPr>
          <w:rFonts w:ascii="Arial" w:cs="Arial" w:eastAsia="Arial" w:hAnsi="Arial"/>
          <w:b w:val="1"/>
          <w:color w:val="000000"/>
          <w:sz w:val="20"/>
          <w:szCs w:val="20"/>
          <w:highlight w:val="white"/>
          <w:rtl w:val="0"/>
        </w:rPr>
        <w:t xml:space="preserve"> registró </w:t>
      </w:r>
      <w:r w:rsidDel="00000000" w:rsidR="00000000" w:rsidRPr="00000000">
        <w:rPr>
          <w:rFonts w:ascii="Arial" w:cs="Arial" w:eastAsia="Arial" w:hAnsi="Arial"/>
          <w:color w:val="000000"/>
          <w:sz w:val="20"/>
          <w:szCs w:val="20"/>
          <w:highlight w:val="white"/>
          <w:rtl w:val="0"/>
        </w:rPr>
        <w:t xml:space="preserve">el pasado mes de</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sz w:val="20"/>
          <w:szCs w:val="20"/>
          <w:highlight w:val="white"/>
          <w:rtl w:val="0"/>
        </w:rPr>
        <w:t xml:space="preserve">diciembre un</w:t>
      </w:r>
      <w:r w:rsidDel="00000000" w:rsidR="00000000" w:rsidRPr="00000000">
        <w:rPr>
          <w:rFonts w:ascii="Arial" w:cs="Arial" w:eastAsia="Arial" w:hAnsi="Arial"/>
          <w:b w:val="1"/>
          <w:sz w:val="20"/>
          <w:szCs w:val="20"/>
          <w:rtl w:val="0"/>
        </w:rPr>
        <w:t xml:space="preserve"> descenso generalizado en la mayoría de categorías profesionales con </w:t>
      </w:r>
      <w:r w:rsidDel="00000000" w:rsidR="00000000" w:rsidRPr="00000000">
        <w:rPr>
          <w:rFonts w:ascii="Arial" w:cs="Arial" w:eastAsia="Arial" w:hAnsi="Arial"/>
          <w:color w:val="000000"/>
          <w:sz w:val="20"/>
          <w:szCs w:val="20"/>
          <w:highlight w:val="white"/>
          <w:rtl w:val="0"/>
        </w:rPr>
        <w:t xml:space="preserve">un total de</w:t>
      </w:r>
      <w:r w:rsidDel="00000000" w:rsidR="00000000" w:rsidRPr="00000000">
        <w:rPr>
          <w:rFonts w:ascii="Arial" w:cs="Arial" w:eastAsia="Arial" w:hAnsi="Arial"/>
          <w:b w:val="1"/>
          <w:color w:val="000000"/>
          <w:sz w:val="20"/>
          <w:szCs w:val="20"/>
          <w:highlight w:val="white"/>
          <w:rtl w:val="0"/>
        </w:rPr>
        <w:t xml:space="preserve"> </w:t>
      </w:r>
      <w:r w:rsidDel="00000000" w:rsidR="00000000" w:rsidRPr="00000000">
        <w:rPr>
          <w:rFonts w:ascii="Arial" w:cs="Arial" w:eastAsia="Arial" w:hAnsi="Arial"/>
          <w:b w:val="1"/>
          <w:color w:val="000000"/>
          <w:sz w:val="20"/>
          <w:szCs w:val="20"/>
          <w:rtl w:val="0"/>
        </w:rPr>
        <w:t xml:space="preserve">112.033 </w:t>
      </w:r>
      <w:r w:rsidDel="00000000" w:rsidR="00000000" w:rsidRPr="00000000">
        <w:rPr>
          <w:rFonts w:ascii="Arial" w:cs="Arial" w:eastAsia="Arial" w:hAnsi="Arial"/>
          <w:b w:val="1"/>
          <w:color w:val="000000"/>
          <w:sz w:val="20"/>
          <w:szCs w:val="20"/>
          <w:highlight w:val="white"/>
          <w:rtl w:val="0"/>
        </w:rPr>
        <w:t xml:space="preserve">vacantes de empleo </w:t>
      </w:r>
      <w:r w:rsidDel="00000000" w:rsidR="00000000" w:rsidRPr="00000000">
        <w:rPr>
          <w:rFonts w:ascii="Arial" w:cs="Arial" w:eastAsia="Arial" w:hAnsi="Arial"/>
          <w:color w:val="000000"/>
          <w:sz w:val="20"/>
          <w:szCs w:val="20"/>
          <w:highlight w:val="white"/>
          <w:rtl w:val="0"/>
        </w:rPr>
        <w:t xml:space="preserve">para trabajar en España</w:t>
      </w:r>
      <w:r w:rsidDel="00000000" w:rsidR="00000000" w:rsidRPr="00000000">
        <w:rPr>
          <w:rFonts w:ascii="Arial" w:cs="Arial" w:eastAsia="Arial" w:hAnsi="Arial"/>
          <w:b w:val="1"/>
          <w:color w:val="000000"/>
          <w:sz w:val="20"/>
          <w:szCs w:val="20"/>
          <w:highlight w:val="white"/>
          <w:rtl w:val="0"/>
        </w:rPr>
        <w:t xml:space="preserve">, un 13,6% menos que en</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1"/>
          <w:color w:val="000000"/>
          <w:sz w:val="20"/>
          <w:szCs w:val="20"/>
          <w:rtl w:val="0"/>
        </w:rPr>
        <w:t xml:space="preserve">noviembre (129.675).</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highlight w:val="white"/>
          <w:rtl w:val="0"/>
        </w:rPr>
        <w:t xml:space="preserve">Diciembre ha sido tradicionalmente en España un mes de creación de empleo, con motivo de las fiestas navideñas. Así, de acuerdo con los datos del Ministerio de Trabajo, el número de afiliados a la seguridad social aumentó el mes pasado en 31.659. En cualquier caso, el saldo total de ocupados en 2020 es negativo, con 360.105 afiliados menos que en 2019 (-1,86%). </w:t>
      </w:r>
      <w:r w:rsidDel="00000000" w:rsidR="00000000" w:rsidRPr="00000000">
        <w:rPr>
          <w:rFonts w:ascii="Arial" w:cs="Arial" w:eastAsia="Arial" w:hAnsi="Arial"/>
          <w:color w:val="000000"/>
          <w:sz w:val="20"/>
          <w:szCs w:val="20"/>
          <w:rtl w:val="0"/>
        </w:rPr>
        <w:t xml:space="preserve">Por otra parte, el número de desempleados registrados en las oficinas del Servicio Público de Empleo Estatal (SEPE) se ha incrementado en 36.825 personas (0,96%) respecto al mes de noviembre.  Así, los datos recogidos a finales de este 2020 confirman que la crisis del coronavirus ha puesto fin a seis años consecutivos de crecimiento del empleo.</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360" w:lineRule="auto"/>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El sector Turismo y Restauración, el más castigado en InfoJobs en comparación con datos de 2019</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Las restricciones del último mes han golpeado especialmente al sector </w:t>
      </w:r>
      <w:r w:rsidDel="00000000" w:rsidR="00000000" w:rsidRPr="00000000">
        <w:rPr>
          <w:rFonts w:ascii="Arial" w:cs="Arial" w:eastAsia="Arial" w:hAnsi="Arial"/>
          <w:b w:val="1"/>
          <w:color w:val="000000"/>
          <w:sz w:val="20"/>
          <w:szCs w:val="20"/>
          <w:highlight w:val="white"/>
          <w:rtl w:val="0"/>
        </w:rPr>
        <w:t xml:space="preserve">Turismo y Restauración</w:t>
      </w:r>
      <w:r w:rsidDel="00000000" w:rsidR="00000000" w:rsidRPr="00000000">
        <w:rPr>
          <w:rFonts w:ascii="Arial" w:cs="Arial" w:eastAsia="Arial" w:hAnsi="Arial"/>
          <w:color w:val="000000"/>
          <w:sz w:val="20"/>
          <w:szCs w:val="20"/>
          <w:highlight w:val="white"/>
          <w:rtl w:val="0"/>
        </w:rPr>
        <w:t xml:space="preserve">, que registra la caída más fuerte respecto al mismo periodo del año anterior, con 10.058 puestos menos (-82,9%). La otra categoría qu</w:t>
      </w:r>
      <w:r w:rsidDel="00000000" w:rsidR="00000000" w:rsidRPr="00000000">
        <w:rPr>
          <w:rFonts w:ascii="Arial" w:cs="Arial" w:eastAsia="Arial" w:hAnsi="Arial"/>
          <w:sz w:val="20"/>
          <w:szCs w:val="20"/>
          <w:highlight w:val="white"/>
          <w:rtl w:val="0"/>
        </w:rPr>
        <w:t xml:space="preserve">e más baja es </w:t>
      </w:r>
      <w:r w:rsidDel="00000000" w:rsidR="00000000" w:rsidRPr="00000000">
        <w:rPr>
          <w:rFonts w:ascii="Arial" w:cs="Arial" w:eastAsia="Arial" w:hAnsi="Arial"/>
          <w:b w:val="1"/>
          <w:color w:val="000000"/>
          <w:sz w:val="20"/>
          <w:szCs w:val="20"/>
          <w:highlight w:val="white"/>
          <w:rtl w:val="0"/>
        </w:rPr>
        <w:t xml:space="preserve">Atención a clientes</w:t>
      </w:r>
      <w:r w:rsidDel="00000000" w:rsidR="00000000" w:rsidRPr="00000000">
        <w:rPr>
          <w:rFonts w:ascii="Arial" w:cs="Arial" w:eastAsia="Arial" w:hAnsi="Arial"/>
          <w:color w:val="000000"/>
          <w:sz w:val="20"/>
          <w:szCs w:val="20"/>
          <w:highlight w:val="white"/>
          <w:rtl w:val="0"/>
        </w:rPr>
        <w:t xml:space="preserve">, con 6.920 puestos menos (-37,3%)</w:t>
      </w:r>
      <w:r w:rsidDel="00000000" w:rsidR="00000000" w:rsidRPr="00000000">
        <w:rPr>
          <w:rFonts w:ascii="Arial" w:cs="Arial" w:eastAsia="Arial" w:hAnsi="Arial"/>
          <w:sz w:val="20"/>
          <w:szCs w:val="20"/>
          <w:highlight w:val="white"/>
          <w:rtl w:val="0"/>
        </w:rPr>
        <w:t xml:space="preserve"> en relación con diciembre de 2019. </w:t>
      </w: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En lo que hace referencia a la variación mensual, las categorías que registran mayores caídas son las de </w:t>
      </w:r>
      <w:r w:rsidDel="00000000" w:rsidR="00000000" w:rsidRPr="00000000">
        <w:rPr>
          <w:rFonts w:ascii="Arial" w:cs="Arial" w:eastAsia="Arial" w:hAnsi="Arial"/>
          <w:b w:val="1"/>
          <w:color w:val="000000"/>
          <w:sz w:val="20"/>
          <w:szCs w:val="20"/>
          <w:highlight w:val="white"/>
          <w:rtl w:val="0"/>
        </w:rPr>
        <w:t xml:space="preserve">Compras, logística y almacén</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1"/>
          <w:color w:val="000000"/>
          <w:sz w:val="20"/>
          <w:szCs w:val="20"/>
          <w:highlight w:val="white"/>
          <w:rtl w:val="0"/>
        </w:rPr>
        <w:t xml:space="preserve">(-28%)</w:t>
      </w:r>
      <w:r w:rsidDel="00000000" w:rsidR="00000000" w:rsidRPr="00000000">
        <w:rPr>
          <w:rFonts w:ascii="Arial" w:cs="Arial" w:eastAsia="Arial" w:hAnsi="Arial"/>
          <w:color w:val="000000"/>
          <w:sz w:val="20"/>
          <w:szCs w:val="20"/>
          <w:highlight w:val="white"/>
          <w:rtl w:val="0"/>
        </w:rPr>
        <w:t xml:space="preserve">, con </w:t>
      </w:r>
      <w:r w:rsidDel="00000000" w:rsidR="00000000" w:rsidRPr="00000000">
        <w:rPr>
          <w:rFonts w:ascii="Arial" w:cs="Arial" w:eastAsia="Arial" w:hAnsi="Arial"/>
          <w:b w:val="1"/>
          <w:color w:val="000000"/>
          <w:sz w:val="20"/>
          <w:szCs w:val="20"/>
          <w:highlight w:val="white"/>
          <w:rtl w:val="0"/>
        </w:rPr>
        <w:t xml:space="preserve">4.936 vacantes menos</w:t>
      </w:r>
      <w:r w:rsidDel="00000000" w:rsidR="00000000" w:rsidRPr="00000000">
        <w:rPr>
          <w:rFonts w:ascii="Arial" w:cs="Arial" w:eastAsia="Arial" w:hAnsi="Arial"/>
          <w:color w:val="000000"/>
          <w:sz w:val="20"/>
          <w:szCs w:val="20"/>
          <w:highlight w:val="white"/>
          <w:rtl w:val="0"/>
        </w:rPr>
        <w:t xml:space="preserve">; </w:t>
      </w:r>
      <w:r w:rsidDel="00000000" w:rsidR="00000000" w:rsidRPr="00000000">
        <w:rPr>
          <w:rFonts w:ascii="Arial" w:cs="Arial" w:eastAsia="Arial" w:hAnsi="Arial"/>
          <w:b w:val="1"/>
          <w:color w:val="000000"/>
          <w:sz w:val="20"/>
          <w:szCs w:val="20"/>
          <w:highlight w:val="white"/>
          <w:rtl w:val="0"/>
        </w:rPr>
        <w:t xml:space="preserve">Sanidad y Salud (-22%)</w:t>
      </w:r>
      <w:r w:rsidDel="00000000" w:rsidR="00000000" w:rsidRPr="00000000">
        <w:rPr>
          <w:rFonts w:ascii="Arial" w:cs="Arial" w:eastAsia="Arial" w:hAnsi="Arial"/>
          <w:color w:val="000000"/>
          <w:sz w:val="20"/>
          <w:szCs w:val="20"/>
          <w:highlight w:val="white"/>
          <w:rtl w:val="0"/>
        </w:rPr>
        <w:t xml:space="preserve">, con </w:t>
      </w:r>
      <w:r w:rsidDel="00000000" w:rsidR="00000000" w:rsidRPr="00000000">
        <w:rPr>
          <w:rFonts w:ascii="Arial" w:cs="Arial" w:eastAsia="Arial" w:hAnsi="Arial"/>
          <w:b w:val="1"/>
          <w:color w:val="000000"/>
          <w:sz w:val="20"/>
          <w:szCs w:val="20"/>
          <w:highlight w:val="white"/>
          <w:rtl w:val="0"/>
        </w:rPr>
        <w:t xml:space="preserve">1.370 vacantes menos</w:t>
      </w:r>
      <w:r w:rsidDel="00000000" w:rsidR="00000000" w:rsidRPr="00000000">
        <w:rPr>
          <w:rFonts w:ascii="Arial" w:cs="Arial" w:eastAsia="Arial" w:hAnsi="Arial"/>
          <w:sz w:val="20"/>
          <w:szCs w:val="20"/>
          <w:highlight w:val="white"/>
          <w:rtl w:val="0"/>
        </w:rPr>
        <w:t xml:space="preserve">. La caída de vacantes en ambos sectores es previsible si se tiene en cuenta que venían de registrar buenos resultados con motivo de la campaña de Navidad. Les sigue </w:t>
      </w:r>
      <w:r w:rsidDel="00000000" w:rsidR="00000000" w:rsidRPr="00000000">
        <w:rPr>
          <w:rFonts w:ascii="Arial" w:cs="Arial" w:eastAsia="Arial" w:hAnsi="Arial"/>
          <w:b w:val="1"/>
          <w:color w:val="000000"/>
          <w:sz w:val="20"/>
          <w:szCs w:val="20"/>
          <w:highlight w:val="white"/>
          <w:rtl w:val="0"/>
        </w:rPr>
        <w:t xml:space="preserve">Profesiones, artes y oficios (-21%)</w:t>
      </w:r>
      <w:r w:rsidDel="00000000" w:rsidR="00000000" w:rsidRPr="00000000">
        <w:rPr>
          <w:rFonts w:ascii="Arial" w:cs="Arial" w:eastAsia="Arial" w:hAnsi="Arial"/>
          <w:color w:val="000000"/>
          <w:sz w:val="20"/>
          <w:szCs w:val="20"/>
          <w:highlight w:val="white"/>
          <w:rtl w:val="0"/>
        </w:rPr>
        <w:t xml:space="preserve">, con </w:t>
      </w:r>
      <w:r w:rsidDel="00000000" w:rsidR="00000000" w:rsidRPr="00000000">
        <w:rPr>
          <w:rFonts w:ascii="Arial" w:cs="Arial" w:eastAsia="Arial" w:hAnsi="Arial"/>
          <w:b w:val="1"/>
          <w:color w:val="000000"/>
          <w:sz w:val="20"/>
          <w:szCs w:val="20"/>
          <w:highlight w:val="white"/>
          <w:rtl w:val="0"/>
        </w:rPr>
        <w:t xml:space="preserve">2.039 ofertas menos</w:t>
      </w:r>
      <w:r w:rsidDel="00000000" w:rsidR="00000000" w:rsidRPr="00000000">
        <w:rPr>
          <w:rFonts w:ascii="Arial" w:cs="Arial" w:eastAsia="Arial" w:hAnsi="Arial"/>
          <w:sz w:val="20"/>
          <w:szCs w:val="20"/>
          <w:highlight w:val="white"/>
          <w:rtl w:val="0"/>
        </w:rPr>
        <w:t xml:space="preserve">.</w:t>
      </w:r>
    </w:p>
    <w:p w:rsidR="00000000" w:rsidDel="00000000" w:rsidP="00000000" w:rsidRDefault="00000000" w:rsidRPr="00000000" w14:paraId="00000011">
      <w:pPr>
        <w:spacing w:line="360" w:lineRule="auto"/>
        <w:jc w:val="both"/>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rtl w:val="0"/>
        </w:rPr>
        <w:t xml:space="preserve">Una vez más, las categorías Comercial y ventas, Compras, logística y almacén, y Atención a clientes, representan casi la mitad de ofertas de empleo (46,1%) de diciembre en la plataforma.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En concreto,</w:t>
      </w:r>
      <w:r w:rsidDel="00000000" w:rsidR="00000000" w:rsidRPr="00000000">
        <w:rPr>
          <w:rFonts w:ascii="Arial" w:cs="Arial" w:eastAsia="Arial" w:hAnsi="Arial"/>
          <w:b w:val="1"/>
          <w:sz w:val="20"/>
          <w:szCs w:val="20"/>
          <w:rtl w:val="0"/>
        </w:rPr>
        <w:t xml:space="preserve"> Comercial y ventas, </w:t>
      </w:r>
      <w:r w:rsidDel="00000000" w:rsidR="00000000" w:rsidRPr="00000000">
        <w:rPr>
          <w:rFonts w:ascii="Arial" w:cs="Arial" w:eastAsia="Arial" w:hAnsi="Arial"/>
          <w:sz w:val="20"/>
          <w:szCs w:val="20"/>
          <w:rtl w:val="0"/>
        </w:rPr>
        <w:t xml:space="preserve">que registra </w:t>
      </w:r>
      <w:r w:rsidDel="00000000" w:rsidR="00000000" w:rsidRPr="00000000">
        <w:rPr>
          <w:rFonts w:ascii="Arial" w:cs="Arial" w:eastAsia="Arial" w:hAnsi="Arial"/>
          <w:b w:val="1"/>
          <w:sz w:val="20"/>
          <w:szCs w:val="20"/>
          <w:rtl w:val="0"/>
        </w:rPr>
        <w:t xml:space="preserve">27.245 vacantes</w:t>
      </w:r>
      <w:r w:rsidDel="00000000" w:rsidR="00000000" w:rsidRPr="00000000">
        <w:rPr>
          <w:rFonts w:ascii="Arial" w:cs="Arial" w:eastAsia="Arial" w:hAnsi="Arial"/>
          <w:sz w:val="20"/>
          <w:szCs w:val="20"/>
          <w:rtl w:val="0"/>
        </w:rPr>
        <w:t xml:space="preserve"> (el </w:t>
      </w:r>
      <w:r w:rsidDel="00000000" w:rsidR="00000000" w:rsidRPr="00000000">
        <w:rPr>
          <w:rFonts w:ascii="Arial" w:cs="Arial" w:eastAsia="Arial" w:hAnsi="Arial"/>
          <w:b w:val="1"/>
          <w:sz w:val="20"/>
          <w:szCs w:val="20"/>
          <w:rtl w:val="0"/>
        </w:rPr>
        <w:t xml:space="preserve">24% del total</w:t>
      </w:r>
      <w:r w:rsidDel="00000000" w:rsidR="00000000" w:rsidRPr="00000000">
        <w:rPr>
          <w:rFonts w:ascii="Arial" w:cs="Arial" w:eastAsia="Arial" w:hAnsi="Arial"/>
          <w:sz w:val="20"/>
          <w:szCs w:val="20"/>
          <w:rtl w:val="0"/>
        </w:rPr>
        <w:t xml:space="preserve"> en InfoJobs), ha </w:t>
      </w:r>
      <w:r w:rsidDel="00000000" w:rsidR="00000000" w:rsidRPr="00000000">
        <w:rPr>
          <w:rFonts w:ascii="Arial" w:cs="Arial" w:eastAsia="Arial" w:hAnsi="Arial"/>
          <w:b w:val="1"/>
          <w:sz w:val="20"/>
          <w:szCs w:val="20"/>
          <w:rtl w:val="0"/>
        </w:rPr>
        <w:t xml:space="preserve">decrecido un 13% </w:t>
      </w:r>
      <w:r w:rsidDel="00000000" w:rsidR="00000000" w:rsidRPr="00000000">
        <w:rPr>
          <w:rFonts w:ascii="Arial" w:cs="Arial" w:eastAsia="Arial" w:hAnsi="Arial"/>
          <w:sz w:val="20"/>
          <w:szCs w:val="20"/>
          <w:rtl w:val="0"/>
        </w:rPr>
        <w:t xml:space="preserve">respecto al mes</w:t>
      </w:r>
      <w:r w:rsidDel="00000000" w:rsidR="00000000" w:rsidRPr="00000000">
        <w:rPr>
          <w:rtl w:val="0"/>
        </w:rPr>
        <w:t xml:space="preserve"> </w:t>
      </w:r>
      <w:r w:rsidDel="00000000" w:rsidR="00000000" w:rsidRPr="00000000">
        <w:rPr>
          <w:rFonts w:ascii="Arial" w:cs="Arial" w:eastAsia="Arial" w:hAnsi="Arial"/>
          <w:sz w:val="20"/>
          <w:szCs w:val="20"/>
          <w:rtl w:val="0"/>
        </w:rPr>
        <w:t xml:space="preserve">anterior, aunque sube un </w:t>
      </w: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respecto a diciembre de 2019. </w:t>
      </w:r>
      <w:r w:rsidDel="00000000" w:rsidR="00000000" w:rsidRPr="00000000">
        <w:rPr>
          <w:rFonts w:ascii="Arial" w:cs="Arial" w:eastAsia="Arial" w:hAnsi="Arial"/>
          <w:color w:val="000000"/>
          <w:sz w:val="20"/>
          <w:szCs w:val="20"/>
          <w:rtl w:val="0"/>
        </w:rPr>
        <w:t xml:space="preserve">Le sigue la mencionada categoría </w:t>
      </w:r>
      <w:r w:rsidDel="00000000" w:rsidR="00000000" w:rsidRPr="00000000">
        <w:rPr>
          <w:rFonts w:ascii="Arial" w:cs="Arial" w:eastAsia="Arial" w:hAnsi="Arial"/>
          <w:b w:val="1"/>
          <w:color w:val="000000"/>
          <w:sz w:val="20"/>
          <w:szCs w:val="20"/>
          <w:rtl w:val="0"/>
        </w:rPr>
        <w:t xml:space="preserve">Compras, logística y almacén </w:t>
      </w:r>
      <w:r w:rsidDel="00000000" w:rsidR="00000000" w:rsidRPr="00000000">
        <w:rPr>
          <w:rFonts w:ascii="Arial" w:cs="Arial" w:eastAsia="Arial" w:hAnsi="Arial"/>
          <w:color w:val="000000"/>
          <w:sz w:val="20"/>
          <w:szCs w:val="20"/>
          <w:rtl w:val="0"/>
        </w:rPr>
        <w:t xml:space="preserve">con</w:t>
      </w:r>
      <w:r w:rsidDel="00000000" w:rsidR="00000000" w:rsidRPr="00000000">
        <w:rPr>
          <w:rFonts w:ascii="Arial" w:cs="Arial" w:eastAsia="Arial" w:hAnsi="Arial"/>
          <w:b w:val="1"/>
          <w:color w:val="000000"/>
          <w:sz w:val="20"/>
          <w:szCs w:val="20"/>
          <w:rtl w:val="0"/>
        </w:rPr>
        <w:t xml:space="preserve"> 12.806 vacantes (el 11% total), que también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crece un 4%</w:t>
      </w:r>
      <w:r w:rsidDel="00000000" w:rsidR="00000000" w:rsidRPr="00000000">
        <w:rPr>
          <w:rFonts w:ascii="Arial" w:cs="Arial" w:eastAsia="Arial" w:hAnsi="Arial"/>
          <w:color w:val="000000"/>
          <w:sz w:val="20"/>
          <w:szCs w:val="20"/>
          <w:rtl w:val="0"/>
        </w:rPr>
        <w:t xml:space="preserve"> respecto a 2019 Y, finalmente, </w:t>
      </w:r>
      <w:r w:rsidDel="00000000" w:rsidR="00000000" w:rsidRPr="00000000">
        <w:rPr>
          <w:rFonts w:ascii="Arial" w:cs="Arial" w:eastAsia="Arial" w:hAnsi="Arial"/>
          <w:b w:val="1"/>
          <w:sz w:val="20"/>
          <w:szCs w:val="20"/>
          <w:rtl w:val="0"/>
        </w:rPr>
        <w:t xml:space="preserve">Atención a clientes</w:t>
      </w:r>
      <w:r w:rsidDel="00000000" w:rsidR="00000000" w:rsidRPr="00000000">
        <w:rPr>
          <w:rFonts w:ascii="Arial" w:cs="Arial" w:eastAsia="Arial" w:hAnsi="Arial"/>
          <w:sz w:val="20"/>
          <w:szCs w:val="20"/>
          <w:rtl w:val="0"/>
        </w:rPr>
        <w:t xml:space="preserve"> que ha registrado </w:t>
      </w:r>
      <w:r w:rsidDel="00000000" w:rsidR="00000000" w:rsidRPr="00000000">
        <w:rPr>
          <w:rFonts w:ascii="Arial" w:cs="Arial" w:eastAsia="Arial" w:hAnsi="Arial"/>
          <w:b w:val="1"/>
          <w:sz w:val="20"/>
          <w:szCs w:val="20"/>
          <w:rtl w:val="0"/>
        </w:rPr>
        <w:t xml:space="preserve">11.610 vacantes (10% del total). </w:t>
      </w:r>
      <w:r w:rsidDel="00000000" w:rsidR="00000000" w:rsidRPr="00000000">
        <w:rPr>
          <w:rFonts w:ascii="Arial" w:cs="Arial" w:eastAsia="Arial" w:hAnsi="Arial"/>
          <w:sz w:val="20"/>
          <w:szCs w:val="20"/>
          <w:rtl w:val="0"/>
        </w:rPr>
        <w:t xml:space="preserve">Esta categoría ha</w:t>
      </w:r>
      <w:r w:rsidDel="00000000" w:rsidR="00000000" w:rsidRPr="00000000">
        <w:rPr>
          <w:rFonts w:ascii="Arial" w:cs="Arial" w:eastAsia="Arial" w:hAnsi="Arial"/>
          <w:b w:val="1"/>
          <w:sz w:val="20"/>
          <w:szCs w:val="20"/>
          <w:rtl w:val="0"/>
        </w:rPr>
        <w:t xml:space="preserve"> descendido </w:t>
      </w:r>
      <w:r w:rsidDel="00000000" w:rsidR="00000000" w:rsidRPr="00000000">
        <w:rPr>
          <w:rFonts w:ascii="Arial" w:cs="Arial" w:eastAsia="Arial" w:hAnsi="Arial"/>
          <w:b w:val="1"/>
          <w:sz w:val="20"/>
          <w:szCs w:val="20"/>
          <w:rtl w:val="0"/>
        </w:rPr>
        <w:t xml:space="preserve">solo</w:t>
      </w:r>
      <w:r w:rsidDel="00000000" w:rsidR="00000000" w:rsidRPr="00000000">
        <w:rPr>
          <w:rFonts w:ascii="Arial" w:cs="Arial" w:eastAsia="Arial" w:hAnsi="Arial"/>
          <w:b w:val="1"/>
          <w:sz w:val="20"/>
          <w:szCs w:val="20"/>
          <w:rtl w:val="0"/>
        </w:rPr>
        <w:t xml:space="preserve"> un 1%</w:t>
      </w:r>
      <w:r w:rsidDel="00000000" w:rsidR="00000000" w:rsidRPr="00000000">
        <w:rPr>
          <w:rFonts w:ascii="Arial" w:cs="Arial" w:eastAsia="Arial" w:hAnsi="Arial"/>
          <w:sz w:val="20"/>
          <w:szCs w:val="20"/>
          <w:rtl w:val="0"/>
        </w:rPr>
        <w:t xml:space="preserve"> respecto a noviembre, pero un </w:t>
      </w:r>
      <w:r w:rsidDel="00000000" w:rsidR="00000000" w:rsidRPr="00000000">
        <w:rPr>
          <w:rFonts w:ascii="Arial" w:cs="Arial" w:eastAsia="Arial" w:hAnsi="Arial"/>
          <w:b w:val="1"/>
          <w:sz w:val="20"/>
          <w:szCs w:val="20"/>
          <w:rtl w:val="0"/>
        </w:rPr>
        <w:t xml:space="preserve">37%</w:t>
      </w:r>
      <w:r w:rsidDel="00000000" w:rsidR="00000000" w:rsidRPr="00000000">
        <w:rPr>
          <w:rFonts w:ascii="Arial" w:cs="Arial" w:eastAsia="Arial" w:hAnsi="Arial"/>
          <w:sz w:val="20"/>
          <w:szCs w:val="20"/>
          <w:rtl w:val="0"/>
        </w:rPr>
        <w:t xml:space="preserve"> en comparación al año anterior.</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yellow"/>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En diciembre</w:t>
      </w:r>
      <w:r w:rsidDel="00000000" w:rsidR="00000000" w:rsidRPr="00000000">
        <w:rPr>
          <w:rFonts w:ascii="Arial" w:cs="Arial" w:eastAsia="Arial" w:hAnsi="Arial"/>
          <w:b w:val="1"/>
          <w:color w:val="000000"/>
          <w:sz w:val="20"/>
          <w:szCs w:val="20"/>
          <w:rtl w:val="0"/>
        </w:rPr>
        <w:t xml:space="preserve"> la única categoría junto a Atención a Clientes que se ha mant</w:t>
      </w:r>
      <w:r w:rsidDel="00000000" w:rsidR="00000000" w:rsidRPr="00000000">
        <w:rPr>
          <w:rFonts w:ascii="Arial" w:cs="Arial" w:eastAsia="Arial" w:hAnsi="Arial"/>
          <w:b w:val="1"/>
          <w:sz w:val="20"/>
          <w:szCs w:val="20"/>
          <w:rtl w:val="0"/>
        </w:rPr>
        <w:t xml:space="preserve">enido</w:t>
      </w:r>
      <w:r w:rsidDel="00000000" w:rsidR="00000000" w:rsidRPr="00000000">
        <w:rPr>
          <w:rFonts w:ascii="Arial" w:cs="Arial" w:eastAsia="Arial" w:hAnsi="Arial"/>
          <w:b w:val="1"/>
          <w:color w:val="000000"/>
          <w:sz w:val="20"/>
          <w:szCs w:val="20"/>
          <w:rtl w:val="0"/>
        </w:rPr>
        <w:t xml:space="preserve"> en volumen de vacantes </w:t>
      </w:r>
      <w:r w:rsidDel="00000000" w:rsidR="00000000" w:rsidRPr="00000000">
        <w:rPr>
          <w:rFonts w:ascii="Arial" w:cs="Arial" w:eastAsia="Arial" w:hAnsi="Arial"/>
          <w:color w:val="000000"/>
          <w:sz w:val="20"/>
          <w:szCs w:val="20"/>
          <w:rtl w:val="0"/>
        </w:rPr>
        <w:t xml:space="preserve">de empleo respecto al mes anterior es </w:t>
      </w:r>
      <w:r w:rsidDel="00000000" w:rsidR="00000000" w:rsidRPr="00000000">
        <w:rPr>
          <w:rFonts w:ascii="Arial" w:cs="Arial" w:eastAsia="Arial" w:hAnsi="Arial"/>
          <w:b w:val="1"/>
          <w:color w:val="000000"/>
          <w:sz w:val="20"/>
          <w:szCs w:val="20"/>
          <w:rtl w:val="0"/>
        </w:rPr>
        <w:t xml:space="preserve">Marketing y Comunicación</w:t>
      </w:r>
      <w:r w:rsidDel="00000000" w:rsidR="00000000" w:rsidRPr="00000000">
        <w:rPr>
          <w:rFonts w:ascii="Arial" w:cs="Arial" w:eastAsia="Arial" w:hAnsi="Arial"/>
          <w:color w:val="000000"/>
          <w:sz w:val="20"/>
          <w:szCs w:val="20"/>
          <w:rtl w:val="0"/>
        </w:rPr>
        <w:t xml:space="preserve">, con un total de </w:t>
      </w:r>
      <w:r w:rsidDel="00000000" w:rsidR="00000000" w:rsidRPr="00000000">
        <w:rPr>
          <w:rFonts w:ascii="Arial" w:cs="Arial" w:eastAsia="Arial" w:hAnsi="Arial"/>
          <w:b w:val="1"/>
          <w:color w:val="000000"/>
          <w:sz w:val="20"/>
          <w:szCs w:val="20"/>
          <w:rtl w:val="0"/>
        </w:rPr>
        <w:t xml:space="preserve">1.277 vacantes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color w:val="000000"/>
          <w:sz w:val="20"/>
          <w:szCs w:val="20"/>
          <w:rtl w:val="0"/>
        </w:rPr>
        <w:t xml:space="preserve">(+1,5%)</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rtl w:val="0"/>
        </w:rPr>
        <w:t xml:space="preserve">Las que más suben son </w:t>
      </w:r>
      <w:r w:rsidDel="00000000" w:rsidR="00000000" w:rsidRPr="00000000">
        <w:rPr>
          <w:rFonts w:ascii="Arial" w:cs="Arial" w:eastAsia="Arial" w:hAnsi="Arial"/>
          <w:b w:val="1"/>
          <w:color w:val="000000"/>
          <w:sz w:val="20"/>
          <w:szCs w:val="20"/>
          <w:rtl w:val="0"/>
        </w:rPr>
        <w:t xml:space="preserve">Finanzas y banca (29%)</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Administración de Empresas (14%)</w:t>
      </w:r>
      <w:r w:rsidDel="00000000" w:rsidR="00000000" w:rsidRPr="00000000">
        <w:rPr>
          <w:rFonts w:ascii="Arial" w:cs="Arial" w:eastAsia="Arial" w:hAnsi="Arial"/>
          <w:color w:val="000000"/>
          <w:sz w:val="20"/>
          <w:szCs w:val="20"/>
          <w:rtl w:val="0"/>
        </w:rPr>
        <w:t xml:space="preserve"> y </w:t>
      </w:r>
      <w:r w:rsidDel="00000000" w:rsidR="00000000" w:rsidRPr="00000000">
        <w:rPr>
          <w:rFonts w:ascii="Arial" w:cs="Arial" w:eastAsia="Arial" w:hAnsi="Arial"/>
          <w:b w:val="1"/>
          <w:color w:val="000000"/>
          <w:sz w:val="20"/>
          <w:szCs w:val="20"/>
          <w:rtl w:val="0"/>
        </w:rPr>
        <w:t xml:space="preserve">Educación y Formación (4%)</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3a7ab2"/>
          <w:sz w:val="22"/>
          <w:szCs w:val="22"/>
          <w:rtl w:val="0"/>
        </w:rPr>
        <w:t xml:space="preserve">El 31% de las vacantes ofrecían contrato de duración determinada y el 24% contrato indefinido</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000000"/>
          <w:sz w:val="20"/>
          <w:szCs w:val="20"/>
          <w:rtl w:val="0"/>
        </w:rPr>
        <w:t xml:space="preserve">Entre las vacantes registradas en InfoJobs en el mes de diciembre, se publicaron un total de </w:t>
      </w:r>
      <w:r w:rsidDel="00000000" w:rsidR="00000000" w:rsidRPr="00000000">
        <w:rPr>
          <w:rFonts w:ascii="Arial" w:cs="Arial" w:eastAsia="Arial" w:hAnsi="Arial"/>
          <w:b w:val="1"/>
          <w:color w:val="000000"/>
          <w:sz w:val="20"/>
          <w:szCs w:val="20"/>
          <w:rtl w:val="0"/>
        </w:rPr>
        <w:t xml:space="preserve">35.093 puestos de trabajo que ofrecían contratación de duración determinada</w:t>
      </w:r>
      <w:r w:rsidDel="00000000" w:rsidR="00000000" w:rsidRPr="00000000">
        <w:rPr>
          <w:rFonts w:ascii="Arial" w:cs="Arial" w:eastAsia="Arial" w:hAnsi="Arial"/>
          <w:color w:val="000000"/>
          <w:sz w:val="20"/>
          <w:szCs w:val="20"/>
          <w:rtl w:val="0"/>
        </w:rPr>
        <w:t xml:space="preserve">, representando el 31% de las vacantes que informaban sobre la tipología de contrato. Por otro lado, las vacantes con contrato de</w:t>
      </w:r>
      <w:r w:rsidDel="00000000" w:rsidR="00000000" w:rsidRPr="00000000">
        <w:rPr>
          <w:rFonts w:ascii="Arial" w:cs="Arial" w:eastAsia="Arial" w:hAnsi="Arial"/>
          <w:b w:val="1"/>
          <w:color w:val="000000"/>
          <w:sz w:val="20"/>
          <w:szCs w:val="20"/>
          <w:rtl w:val="0"/>
        </w:rPr>
        <w:t xml:space="preserve"> duración indefinida -27.224 vacantes-</w:t>
      </w:r>
      <w:r w:rsidDel="00000000" w:rsidR="00000000" w:rsidRPr="00000000">
        <w:rPr>
          <w:rFonts w:ascii="Arial" w:cs="Arial" w:eastAsia="Arial" w:hAnsi="Arial"/>
          <w:color w:val="000000"/>
          <w:sz w:val="20"/>
          <w:szCs w:val="20"/>
          <w:rtl w:val="0"/>
        </w:rPr>
        <w:t xml:space="preserve">, representaban</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el pasado mes el </w:t>
      </w:r>
      <w:r w:rsidDel="00000000" w:rsidR="00000000" w:rsidRPr="00000000">
        <w:rPr>
          <w:rFonts w:ascii="Arial" w:cs="Arial" w:eastAsia="Arial" w:hAnsi="Arial"/>
          <w:b w:val="1"/>
          <w:color w:val="000000"/>
          <w:sz w:val="20"/>
          <w:szCs w:val="20"/>
          <w:rtl w:val="0"/>
        </w:rPr>
        <w:t xml:space="preserve">24% de las vacantes</w:t>
      </w:r>
      <w:r w:rsidDel="00000000" w:rsidR="00000000" w:rsidRPr="00000000">
        <w:rPr>
          <w:rFonts w:ascii="Arial" w:cs="Arial" w:eastAsia="Arial" w:hAnsi="Arial"/>
          <w:color w:val="000000"/>
          <w:sz w:val="20"/>
          <w:szCs w:val="20"/>
          <w:rtl w:val="0"/>
        </w:rPr>
        <w:t xml:space="preserve"> de la plataforma. Las cifras en cuanto a la tipología de contrato son muy similares a las del mes pasado.</w:t>
      </w:r>
      <w:r w:rsidDel="00000000" w:rsidR="00000000" w:rsidRPr="00000000">
        <w:rPr>
          <w:rtl w:val="0"/>
        </w:rPr>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diciembre, en lo que respecta al </w:t>
      </w:r>
      <w:r w:rsidDel="00000000" w:rsidR="00000000" w:rsidRPr="00000000">
        <w:rPr>
          <w:rFonts w:ascii="Arial" w:cs="Arial" w:eastAsia="Arial" w:hAnsi="Arial"/>
          <w:b w:val="1"/>
          <w:color w:val="000000"/>
          <w:sz w:val="20"/>
          <w:szCs w:val="20"/>
          <w:rtl w:val="0"/>
        </w:rPr>
        <w:t xml:space="preserve">tipo de jornada a realizar</w:t>
      </w:r>
      <w:r w:rsidDel="00000000" w:rsidR="00000000" w:rsidRPr="00000000">
        <w:rPr>
          <w:rFonts w:ascii="Arial" w:cs="Arial" w:eastAsia="Arial" w:hAnsi="Arial"/>
          <w:color w:val="000000"/>
          <w:sz w:val="20"/>
          <w:szCs w:val="20"/>
          <w:rtl w:val="0"/>
        </w:rPr>
        <w:t xml:space="preserve">, predominaron las vacantes que ofrecían </w:t>
      </w:r>
      <w:r w:rsidDel="00000000" w:rsidR="00000000" w:rsidRPr="00000000">
        <w:rPr>
          <w:rFonts w:ascii="Arial" w:cs="Arial" w:eastAsia="Arial" w:hAnsi="Arial"/>
          <w:b w:val="1"/>
          <w:color w:val="000000"/>
          <w:sz w:val="20"/>
          <w:szCs w:val="20"/>
          <w:rtl w:val="0"/>
        </w:rPr>
        <w:t xml:space="preserve">jornada a tiempo completo</w:t>
      </w:r>
      <w:r w:rsidDel="00000000" w:rsidR="00000000" w:rsidRPr="00000000">
        <w:rPr>
          <w:rFonts w:ascii="Arial" w:cs="Arial" w:eastAsia="Arial" w:hAnsi="Arial"/>
          <w:color w:val="000000"/>
          <w:sz w:val="20"/>
          <w:szCs w:val="20"/>
          <w:rtl w:val="0"/>
        </w:rPr>
        <w:t xml:space="preserve">, representando el </w:t>
      </w:r>
      <w:r w:rsidDel="00000000" w:rsidR="00000000" w:rsidRPr="00000000">
        <w:rPr>
          <w:rFonts w:ascii="Arial" w:cs="Arial" w:eastAsia="Arial" w:hAnsi="Arial"/>
          <w:b w:val="1"/>
          <w:color w:val="000000"/>
          <w:sz w:val="20"/>
          <w:szCs w:val="20"/>
          <w:rtl w:val="0"/>
        </w:rPr>
        <w:t xml:space="preserve">54% del total</w:t>
      </w:r>
      <w:r w:rsidDel="00000000" w:rsidR="00000000" w:rsidRPr="00000000">
        <w:rPr>
          <w:rFonts w:ascii="Arial" w:cs="Arial" w:eastAsia="Arial" w:hAnsi="Arial"/>
          <w:color w:val="000000"/>
          <w:sz w:val="20"/>
          <w:szCs w:val="20"/>
          <w:rtl w:val="0"/>
        </w:rPr>
        <w:t xml:space="preserve">. El </w:t>
      </w:r>
      <w:r w:rsidDel="00000000" w:rsidR="00000000" w:rsidRPr="00000000">
        <w:rPr>
          <w:rFonts w:ascii="Arial" w:cs="Arial" w:eastAsia="Arial" w:hAnsi="Arial"/>
          <w:b w:val="1"/>
          <w:color w:val="000000"/>
          <w:sz w:val="20"/>
          <w:szCs w:val="20"/>
          <w:rtl w:val="0"/>
        </w:rPr>
        <w:t xml:space="preserve">21,5% </w:t>
      </w:r>
      <w:r w:rsidDel="00000000" w:rsidR="00000000" w:rsidRPr="00000000">
        <w:rPr>
          <w:rFonts w:ascii="Arial" w:cs="Arial" w:eastAsia="Arial" w:hAnsi="Arial"/>
          <w:color w:val="000000"/>
          <w:sz w:val="20"/>
          <w:szCs w:val="20"/>
          <w:rtl w:val="0"/>
        </w:rPr>
        <w:t xml:space="preserve">de los puestos de trabajo ofrecían </w:t>
      </w:r>
      <w:r w:rsidDel="00000000" w:rsidR="00000000" w:rsidRPr="00000000">
        <w:rPr>
          <w:rFonts w:ascii="Arial" w:cs="Arial" w:eastAsia="Arial" w:hAnsi="Arial"/>
          <w:b w:val="1"/>
          <w:color w:val="000000"/>
          <w:sz w:val="20"/>
          <w:szCs w:val="20"/>
          <w:rtl w:val="0"/>
        </w:rPr>
        <w:t xml:space="preserve">jornada parcial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color w:val="3a7ab2"/>
          <w:sz w:val="22"/>
          <w:szCs w:val="22"/>
        </w:rPr>
      </w:pPr>
      <w:r w:rsidDel="00000000" w:rsidR="00000000" w:rsidRPr="00000000">
        <w:rPr>
          <w:rFonts w:ascii="Arial" w:cs="Arial" w:eastAsia="Arial" w:hAnsi="Arial"/>
          <w:color w:val="3a7ab2"/>
          <w:sz w:val="22"/>
          <w:szCs w:val="22"/>
          <w:rtl w:val="0"/>
        </w:rPr>
        <w:t xml:space="preserve">Andalucía, la única comunidad autónoma de España con datos positivos</w:t>
      </w:r>
    </w:p>
    <w:p w:rsidR="00000000" w:rsidDel="00000000" w:rsidP="00000000" w:rsidRDefault="00000000" w:rsidRPr="00000000" w14:paraId="0000001F">
      <w:pPr>
        <w:jc w:val="both"/>
        <w:rPr>
          <w:rFonts w:ascii="Arial" w:cs="Arial" w:eastAsia="Arial" w:hAnsi="Arial"/>
          <w:color w:val="3a7ab2"/>
          <w:sz w:val="22"/>
          <w:szCs w:val="2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Las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que más empleo han generado en diciembre son </w:t>
      </w:r>
      <w:r w:rsidDel="00000000" w:rsidR="00000000" w:rsidRPr="00000000">
        <w:rPr>
          <w:rFonts w:ascii="Arial" w:cs="Arial" w:eastAsia="Arial" w:hAnsi="Arial"/>
          <w:b w:val="1"/>
          <w:color w:val="000000"/>
          <w:sz w:val="20"/>
          <w:szCs w:val="20"/>
          <w:highlight w:val="white"/>
          <w:rtl w:val="0"/>
        </w:rPr>
        <w:t xml:space="preserve">Madrid, </w:t>
      </w:r>
      <w:r w:rsidDel="00000000" w:rsidR="00000000" w:rsidRPr="00000000">
        <w:rPr>
          <w:rFonts w:ascii="Arial" w:cs="Arial" w:eastAsia="Arial" w:hAnsi="Arial"/>
          <w:color w:val="000000"/>
          <w:sz w:val="20"/>
          <w:szCs w:val="20"/>
          <w:highlight w:val="white"/>
          <w:rtl w:val="0"/>
        </w:rPr>
        <w:t xml:space="preserve">concentrando el </w:t>
      </w:r>
      <w:r w:rsidDel="00000000" w:rsidR="00000000" w:rsidRPr="00000000">
        <w:rPr>
          <w:rFonts w:ascii="Arial" w:cs="Arial" w:eastAsia="Arial" w:hAnsi="Arial"/>
          <w:b w:val="1"/>
          <w:color w:val="000000"/>
          <w:sz w:val="20"/>
          <w:szCs w:val="20"/>
          <w:rtl w:val="0"/>
        </w:rPr>
        <w:t xml:space="preserve">26% </w:t>
      </w:r>
      <w:r w:rsidDel="00000000" w:rsidR="00000000" w:rsidRPr="00000000">
        <w:rPr>
          <w:rFonts w:ascii="Arial" w:cs="Arial" w:eastAsia="Arial" w:hAnsi="Arial"/>
          <w:b w:val="1"/>
          <w:color w:val="000000"/>
          <w:sz w:val="20"/>
          <w:szCs w:val="20"/>
          <w:highlight w:val="white"/>
          <w:rtl w:val="0"/>
        </w:rPr>
        <w:t xml:space="preserve">del total de vacantes, </w:t>
      </w:r>
      <w:r w:rsidDel="00000000" w:rsidR="00000000" w:rsidRPr="00000000">
        <w:rPr>
          <w:rFonts w:ascii="Arial" w:cs="Arial" w:eastAsia="Arial" w:hAnsi="Arial"/>
          <w:sz w:val="20"/>
          <w:szCs w:val="20"/>
          <w:highlight w:val="white"/>
          <w:rtl w:val="0"/>
        </w:rPr>
        <w:t xml:space="preserve">seguida de</w:t>
      </w:r>
      <w:r w:rsidDel="00000000" w:rsidR="00000000" w:rsidRPr="00000000">
        <w:rPr>
          <w:rFonts w:ascii="Arial" w:cs="Arial" w:eastAsia="Arial" w:hAnsi="Arial"/>
          <w:b w:val="1"/>
          <w:sz w:val="20"/>
          <w:szCs w:val="20"/>
          <w:highlight w:val="white"/>
          <w:rtl w:val="0"/>
        </w:rPr>
        <w:t xml:space="preserve"> Cataluña, que representa el </w:t>
      </w:r>
      <w:r w:rsidDel="00000000" w:rsidR="00000000" w:rsidRPr="00000000">
        <w:rPr>
          <w:rFonts w:ascii="Arial" w:cs="Arial" w:eastAsia="Arial" w:hAnsi="Arial"/>
          <w:b w:val="1"/>
          <w:sz w:val="20"/>
          <w:szCs w:val="20"/>
          <w:rtl w:val="0"/>
        </w:rPr>
        <w:t xml:space="preserve">23% del total</w:t>
      </w:r>
      <w:r w:rsidDel="00000000" w:rsidR="00000000" w:rsidRPr="00000000">
        <w:rPr>
          <w:rFonts w:ascii="Arial" w:cs="Arial" w:eastAsia="Arial" w:hAnsi="Arial"/>
          <w:b w:val="1"/>
          <w:sz w:val="20"/>
          <w:szCs w:val="20"/>
          <w:highlight w:val="white"/>
          <w:rtl w:val="0"/>
        </w:rPr>
        <w:t xml:space="preserve">, y Andalucía </w:t>
      </w: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En concreto, InfoJobs recogía un total de </w:t>
      </w:r>
      <w:r w:rsidDel="00000000" w:rsidR="00000000" w:rsidRPr="00000000">
        <w:rPr>
          <w:rFonts w:ascii="Arial" w:cs="Arial" w:eastAsia="Arial" w:hAnsi="Arial"/>
          <w:b w:val="1"/>
          <w:color w:val="000000"/>
          <w:sz w:val="20"/>
          <w:szCs w:val="20"/>
          <w:highlight w:val="white"/>
          <w:rtl w:val="0"/>
        </w:rPr>
        <w:t xml:space="preserve">28.741 vacantes</w:t>
      </w:r>
      <w:r w:rsidDel="00000000" w:rsidR="00000000" w:rsidRPr="00000000">
        <w:rPr>
          <w:rFonts w:ascii="Arial" w:cs="Arial" w:eastAsia="Arial" w:hAnsi="Arial"/>
          <w:color w:val="000000"/>
          <w:sz w:val="20"/>
          <w:szCs w:val="20"/>
          <w:highlight w:val="white"/>
          <w:rtl w:val="0"/>
        </w:rPr>
        <w:t xml:space="preserve"> para trabajar en la </w:t>
      </w:r>
      <w:r w:rsidDel="00000000" w:rsidR="00000000" w:rsidRPr="00000000">
        <w:rPr>
          <w:rFonts w:ascii="Arial" w:cs="Arial" w:eastAsia="Arial" w:hAnsi="Arial"/>
          <w:b w:val="1"/>
          <w:color w:val="000000"/>
          <w:sz w:val="20"/>
          <w:szCs w:val="20"/>
          <w:highlight w:val="white"/>
          <w:rtl w:val="0"/>
        </w:rPr>
        <w:t xml:space="preserve">Comunidad de Madrid</w:t>
      </w:r>
      <w:r w:rsidDel="00000000" w:rsidR="00000000" w:rsidRPr="00000000">
        <w:rPr>
          <w:rFonts w:ascii="Arial" w:cs="Arial" w:eastAsia="Arial" w:hAnsi="Arial"/>
          <w:color w:val="000000"/>
          <w:sz w:val="20"/>
          <w:szCs w:val="20"/>
          <w:highlight w:val="white"/>
          <w:rtl w:val="0"/>
        </w:rPr>
        <w:t xml:space="preserve"> en diciembre, </w:t>
      </w:r>
      <w:r w:rsidDel="00000000" w:rsidR="00000000" w:rsidRPr="00000000">
        <w:rPr>
          <w:rFonts w:ascii="Arial" w:cs="Arial" w:eastAsia="Arial" w:hAnsi="Arial"/>
          <w:b w:val="1"/>
          <w:color w:val="000000"/>
          <w:sz w:val="20"/>
          <w:szCs w:val="20"/>
          <w:highlight w:val="white"/>
          <w:rtl w:val="0"/>
        </w:rPr>
        <w:t xml:space="preserve">un </w:t>
      </w:r>
      <w:r w:rsidDel="00000000" w:rsidR="00000000" w:rsidRPr="00000000">
        <w:rPr>
          <w:rFonts w:ascii="Arial" w:cs="Arial" w:eastAsia="Arial" w:hAnsi="Arial"/>
          <w:b w:val="1"/>
          <w:color w:val="000000"/>
          <w:sz w:val="20"/>
          <w:szCs w:val="20"/>
          <w:rtl w:val="0"/>
        </w:rPr>
        <w:t xml:space="preserve">10% menos que el mes anterior</w:t>
      </w:r>
      <w:r w:rsidDel="00000000" w:rsidR="00000000" w:rsidRPr="00000000">
        <w:rPr>
          <w:rFonts w:ascii="Arial" w:cs="Arial" w:eastAsia="Arial" w:hAnsi="Arial"/>
          <w:color w:val="000000"/>
          <w:sz w:val="20"/>
          <w:szCs w:val="20"/>
          <w:rtl w:val="0"/>
        </w:rPr>
        <w:t xml:space="preserve">. Por su parte, </w:t>
      </w:r>
      <w:r w:rsidDel="00000000" w:rsidR="00000000" w:rsidRPr="00000000">
        <w:rPr>
          <w:rFonts w:ascii="Arial" w:cs="Arial" w:eastAsia="Arial" w:hAnsi="Arial"/>
          <w:b w:val="1"/>
          <w:color w:val="000000"/>
          <w:sz w:val="20"/>
          <w:szCs w:val="20"/>
          <w:rtl w:val="0"/>
        </w:rPr>
        <w:t xml:space="preserve">Cataluña,</w:t>
      </w:r>
      <w:r w:rsidDel="00000000" w:rsidR="00000000" w:rsidRPr="00000000">
        <w:rPr>
          <w:rFonts w:ascii="Arial" w:cs="Arial" w:eastAsia="Arial" w:hAnsi="Arial"/>
          <w:color w:val="000000"/>
          <w:sz w:val="20"/>
          <w:szCs w:val="20"/>
          <w:rtl w:val="0"/>
        </w:rPr>
        <w:t xml:space="preserve"> que registra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sz w:val="20"/>
          <w:szCs w:val="20"/>
          <w:rtl w:val="0"/>
        </w:rPr>
        <w:t xml:space="preserve">25.274 </w:t>
      </w:r>
      <w:r w:rsidDel="00000000" w:rsidR="00000000" w:rsidRPr="00000000">
        <w:rPr>
          <w:rFonts w:ascii="Arial" w:cs="Arial" w:eastAsia="Arial" w:hAnsi="Arial"/>
          <w:b w:val="1"/>
          <w:color w:val="000000"/>
          <w:sz w:val="20"/>
          <w:szCs w:val="20"/>
          <w:rtl w:val="0"/>
        </w:rPr>
        <w:t xml:space="preserve">puestos vacantes,</w:t>
      </w:r>
      <w:r w:rsidDel="00000000" w:rsidR="00000000" w:rsidRPr="00000000">
        <w:rPr>
          <w:rFonts w:ascii="Arial" w:cs="Arial" w:eastAsia="Arial" w:hAnsi="Arial"/>
          <w:color w:val="000000"/>
          <w:sz w:val="20"/>
          <w:szCs w:val="20"/>
          <w:rtl w:val="0"/>
        </w:rPr>
        <w:t xml:space="preserve"> ha </w:t>
      </w:r>
      <w:r w:rsidDel="00000000" w:rsidR="00000000" w:rsidRPr="00000000">
        <w:rPr>
          <w:rFonts w:ascii="Arial" w:cs="Arial" w:eastAsia="Arial" w:hAnsi="Arial"/>
          <w:b w:val="1"/>
          <w:color w:val="000000"/>
          <w:sz w:val="20"/>
          <w:szCs w:val="20"/>
          <w:rtl w:val="0"/>
        </w:rPr>
        <w:t xml:space="preserve">decrecido también en la misma media </w:t>
      </w:r>
      <w:r w:rsidDel="00000000" w:rsidR="00000000" w:rsidRPr="00000000">
        <w:rPr>
          <w:rFonts w:ascii="Arial" w:cs="Arial" w:eastAsia="Arial" w:hAnsi="Arial"/>
          <w:color w:val="000000"/>
          <w:sz w:val="20"/>
          <w:szCs w:val="20"/>
          <w:highlight w:val="white"/>
          <w:rtl w:val="0"/>
        </w:rPr>
        <w:t xml:space="preserve">respecto al mes</w:t>
      </w:r>
      <w:r w:rsidDel="00000000" w:rsidR="00000000" w:rsidRPr="00000000">
        <w:rPr>
          <w:rtl w:val="0"/>
        </w:rPr>
        <w:t xml:space="preserve"> </w:t>
      </w:r>
      <w:r w:rsidDel="00000000" w:rsidR="00000000" w:rsidRPr="00000000">
        <w:rPr>
          <w:rFonts w:ascii="Arial" w:cs="Arial" w:eastAsia="Arial" w:hAnsi="Arial"/>
          <w:color w:val="000000"/>
          <w:sz w:val="20"/>
          <w:szCs w:val="20"/>
          <w:highlight w:val="white"/>
          <w:rtl w:val="0"/>
        </w:rPr>
        <w:t xml:space="preserve">anterior. A éstas les sigue </w:t>
      </w:r>
      <w:r w:rsidDel="00000000" w:rsidR="00000000" w:rsidRPr="00000000">
        <w:rPr>
          <w:rFonts w:ascii="Arial" w:cs="Arial" w:eastAsia="Arial" w:hAnsi="Arial"/>
          <w:b w:val="1"/>
          <w:sz w:val="20"/>
          <w:szCs w:val="20"/>
          <w:highlight w:val="white"/>
          <w:rtl w:val="0"/>
        </w:rPr>
        <w:t xml:space="preserve">Andalucía</w:t>
      </w:r>
      <w:r w:rsidDel="00000000" w:rsidR="00000000" w:rsidRPr="00000000">
        <w:rPr>
          <w:rFonts w:ascii="Arial" w:cs="Arial" w:eastAsia="Arial" w:hAnsi="Arial"/>
          <w:color w:val="000000"/>
          <w:sz w:val="20"/>
          <w:szCs w:val="20"/>
          <w:highlight w:val="white"/>
          <w:rtl w:val="0"/>
        </w:rPr>
        <w:t xml:space="preserve"> con </w:t>
      </w:r>
      <w:r w:rsidDel="00000000" w:rsidR="00000000" w:rsidRPr="00000000">
        <w:rPr>
          <w:rFonts w:ascii="Arial" w:cs="Arial" w:eastAsia="Arial" w:hAnsi="Arial"/>
          <w:b w:val="1"/>
          <w:sz w:val="20"/>
          <w:szCs w:val="20"/>
          <w:highlight w:val="white"/>
          <w:rtl w:val="0"/>
        </w:rPr>
        <w:t xml:space="preserve">13.533 </w:t>
      </w:r>
      <w:r w:rsidDel="00000000" w:rsidR="00000000" w:rsidRPr="00000000">
        <w:rPr>
          <w:rFonts w:ascii="Arial" w:cs="Arial" w:eastAsia="Arial" w:hAnsi="Arial"/>
          <w:b w:val="1"/>
          <w:color w:val="000000"/>
          <w:sz w:val="20"/>
          <w:szCs w:val="20"/>
          <w:highlight w:val="white"/>
          <w:rtl w:val="0"/>
        </w:rPr>
        <w:t xml:space="preserve">vacantes</w:t>
      </w:r>
      <w:r w:rsidDel="00000000" w:rsidR="00000000" w:rsidRPr="00000000">
        <w:rPr>
          <w:rFonts w:ascii="Arial" w:cs="Arial" w:eastAsia="Arial" w:hAnsi="Arial"/>
          <w:color w:val="000000"/>
          <w:sz w:val="20"/>
          <w:szCs w:val="20"/>
          <w:rtl w:val="0"/>
        </w:rPr>
        <w:t xml:space="preserve">, un </w:t>
      </w:r>
      <w:r w:rsidDel="00000000" w:rsidR="00000000" w:rsidRPr="00000000">
        <w:rPr>
          <w:rFonts w:ascii="Arial" w:cs="Arial" w:eastAsia="Arial" w:hAnsi="Arial"/>
          <w:b w:val="1"/>
          <w:color w:val="000000"/>
          <w:sz w:val="20"/>
          <w:szCs w:val="20"/>
          <w:rtl w:val="0"/>
        </w:rPr>
        <w:t xml:space="preserve">5%</w:t>
      </w:r>
      <w:r w:rsidDel="00000000" w:rsidR="00000000" w:rsidRPr="00000000">
        <w:rPr>
          <w:rFonts w:ascii="Arial" w:cs="Arial" w:eastAsia="Arial" w:hAnsi="Arial"/>
          <w:color w:val="000000"/>
          <w:sz w:val="20"/>
          <w:szCs w:val="20"/>
          <w:rtl w:val="0"/>
        </w:rPr>
        <w:t xml:space="preserve"> más respecto al mes anterior. La comunidad andaluza es la única de todo el país que registra datos positivos este mes.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Ésta es la evolución de los puestos de trabajo publicados en InfoJobs con la totalidad de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tbl>
      <w:tblPr>
        <w:tblStyle w:val="Table1"/>
        <w:tblW w:w="8989.999999999998" w:type="dxa"/>
        <w:jc w:val="left"/>
        <w:tblInd w:w="0.0" w:type="dxa"/>
        <w:tblLayout w:type="fixed"/>
        <w:tblLook w:val="0400"/>
      </w:tblPr>
      <w:tblGrid>
        <w:gridCol w:w="2677"/>
        <w:gridCol w:w="1229"/>
        <w:gridCol w:w="1229"/>
        <w:gridCol w:w="1229"/>
        <w:gridCol w:w="1233"/>
        <w:gridCol w:w="1233"/>
        <w:gridCol w:w="160"/>
        <w:tblGridChange w:id="0">
          <w:tblGrid>
            <w:gridCol w:w="2677"/>
            <w:gridCol w:w="1229"/>
            <w:gridCol w:w="1229"/>
            <w:gridCol w:w="1229"/>
            <w:gridCol w:w="1233"/>
            <w:gridCol w:w="1233"/>
            <w:gridCol w:w="160"/>
          </w:tblGrid>
        </w:tblGridChange>
      </w:tblGrid>
      <w:tr>
        <w:trPr>
          <w:trHeight w:val="276" w:hRule="atLeast"/>
        </w:trPr>
        <w:tc>
          <w:tcPr>
            <w:vMerge w:val="restart"/>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5">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Comunidad Autónoma</w:t>
            </w:r>
          </w:p>
        </w:tc>
        <w:tc>
          <w:tcPr>
            <w:vMerge w:val="restart"/>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6">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dic-19</w:t>
            </w:r>
          </w:p>
        </w:tc>
        <w:tc>
          <w:tcPr>
            <w:vMerge w:val="restart"/>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7">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nov-20</w:t>
            </w:r>
          </w:p>
        </w:tc>
        <w:tc>
          <w:tcPr>
            <w:vMerge w:val="restart"/>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8">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dic-20</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29">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MoM</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2A">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YoY</w:t>
            </w:r>
          </w:p>
        </w:tc>
      </w:tr>
      <w:tr>
        <w:trPr>
          <w:trHeight w:val="288" w:hRule="atLeast"/>
        </w:trPr>
        <w:tc>
          <w:tcPr>
            <w:vMerge w:val="continue"/>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0" w:val="nil"/>
              <w:right w:color="000000" w:space="0" w:sz="8" w:val="single"/>
            </w:tcBorders>
            <w:shd w:fill="0070c0" w:val="cle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jc w:val="center"/>
              <w:rPr>
                <w:rFonts w:ascii="Arial" w:cs="Arial" w:eastAsia="Arial" w:hAnsi="Arial"/>
                <w:b w:val="1"/>
                <w:color w:val="ffffff"/>
                <w:sz w:val="20"/>
                <w:szCs w:val="20"/>
              </w:rPr>
            </w:pPr>
            <w:r w:rsidDel="00000000" w:rsidR="00000000" w:rsidRPr="00000000">
              <w:rPr>
                <w:rtl w:val="0"/>
              </w:rPr>
            </w:r>
          </w:p>
        </w:tc>
      </w:tr>
      <w:tr>
        <w:trPr>
          <w:trHeight w:val="324" w:hRule="atLeast"/>
        </w:trPr>
        <w:tc>
          <w:tcPr>
            <w:tcBorders>
              <w:top w:color="000000" w:space="0" w:sz="8" w:val="single"/>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2">
            <w:pPr>
              <w:rPr>
                <w:rFonts w:ascii="Calibri" w:cs="Calibri" w:eastAsia="Calibri" w:hAnsi="Calibri"/>
                <w:color w:val="000000"/>
              </w:rPr>
            </w:pPr>
            <w:r w:rsidDel="00000000" w:rsidR="00000000" w:rsidRPr="00000000">
              <w:rPr>
                <w:rFonts w:ascii="Calibri" w:cs="Calibri" w:eastAsia="Calibri" w:hAnsi="Calibri"/>
                <w:color w:val="000000"/>
                <w:rtl w:val="0"/>
              </w:rPr>
              <w:t xml:space="preserve">Andalucía</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13.838</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3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12.940</w:t>
            </w:r>
          </w:p>
        </w:tc>
        <w:tc>
          <w:tcPr>
            <w:tcBorders>
              <w:top w:color="000000" w:space="0" w:sz="8" w:val="single"/>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13.533</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36">
            <w:pPr>
              <w:jc w:val="center"/>
              <w:rPr>
                <w:rFonts w:ascii="Calibri" w:cs="Calibri" w:eastAsia="Calibri" w:hAnsi="Calibri"/>
                <w:color w:val="ff0000"/>
                <w:sz w:val="22"/>
                <w:szCs w:val="22"/>
              </w:rPr>
            </w:pPr>
            <w:r w:rsidDel="00000000" w:rsidR="00000000" w:rsidRPr="00000000">
              <w:rPr>
                <w:rFonts w:ascii="Calibri" w:cs="Calibri" w:eastAsia="Calibri" w:hAnsi="Calibri"/>
                <w:sz w:val="22"/>
                <w:szCs w:val="22"/>
                <w:rtl w:val="0"/>
              </w:rPr>
              <w:t xml:space="preserve">4,6%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37">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w:t>
            </w:r>
            <w:r w:rsidDel="00000000" w:rsidR="00000000" w:rsidRPr="00000000">
              <w:rPr>
                <w:rtl w:val="0"/>
              </w:rPr>
            </w:r>
          </w:p>
        </w:tc>
        <w:tc>
          <w:tcPr>
            <w:vAlign w:val="center"/>
          </w:tcPr>
          <w:p w:rsidR="00000000" w:rsidDel="00000000" w:rsidP="00000000" w:rsidRDefault="00000000" w:rsidRPr="00000000" w14:paraId="00000038">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9">
            <w:pPr>
              <w:rPr>
                <w:rFonts w:ascii="Calibri" w:cs="Calibri" w:eastAsia="Calibri" w:hAnsi="Calibri"/>
                <w:color w:val="000000"/>
              </w:rPr>
            </w:pPr>
            <w:r w:rsidDel="00000000" w:rsidR="00000000" w:rsidRPr="00000000">
              <w:rPr>
                <w:rFonts w:ascii="Calibri" w:cs="Calibri" w:eastAsia="Calibri" w:hAnsi="Calibri"/>
                <w:color w:val="000000"/>
                <w:rtl w:val="0"/>
              </w:rPr>
              <w:t xml:space="preserve">Aragón</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3.317</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3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3.492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3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3.343</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3D">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-4,3%</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3E">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sz w:val="22"/>
                <w:szCs w:val="22"/>
                <w:rtl w:val="0"/>
              </w:rPr>
              <w:t xml:space="preserve">1%</w:t>
            </w:r>
            <w:r w:rsidDel="00000000" w:rsidR="00000000" w:rsidRPr="00000000">
              <w:rPr>
                <w:rtl w:val="0"/>
              </w:rPr>
            </w:r>
          </w:p>
        </w:tc>
        <w:tc>
          <w:tcPr>
            <w:vAlign w:val="center"/>
          </w:tcPr>
          <w:p w:rsidR="00000000" w:rsidDel="00000000" w:rsidP="00000000" w:rsidRDefault="00000000" w:rsidRPr="00000000" w14:paraId="0000003F">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0">
            <w:pPr>
              <w:rPr>
                <w:rFonts w:ascii="Calibri" w:cs="Calibri" w:eastAsia="Calibri" w:hAnsi="Calibri"/>
                <w:color w:val="000000"/>
              </w:rPr>
            </w:pPr>
            <w:r w:rsidDel="00000000" w:rsidR="00000000" w:rsidRPr="00000000">
              <w:rPr>
                <w:rFonts w:ascii="Calibri" w:cs="Calibri" w:eastAsia="Calibri" w:hAnsi="Calibri"/>
                <w:color w:val="000000"/>
                <w:rtl w:val="0"/>
              </w:rPr>
              <w:t xml:space="preserve">Asturias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2.285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4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1.837</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1.760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4">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-4,2%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5">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-23%</w:t>
            </w:r>
            <w:r w:rsidDel="00000000" w:rsidR="00000000" w:rsidRPr="00000000">
              <w:rPr>
                <w:rtl w:val="0"/>
              </w:rPr>
            </w:r>
          </w:p>
        </w:tc>
        <w:tc>
          <w:tcPr>
            <w:vAlign w:val="center"/>
          </w:tcPr>
          <w:p w:rsidR="00000000" w:rsidDel="00000000" w:rsidP="00000000" w:rsidRDefault="00000000" w:rsidRPr="00000000" w14:paraId="00000046">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7">
            <w:pPr>
              <w:rPr>
                <w:rFonts w:ascii="Calibri" w:cs="Calibri" w:eastAsia="Calibri" w:hAnsi="Calibri"/>
                <w:color w:val="000000"/>
              </w:rPr>
            </w:pPr>
            <w:r w:rsidDel="00000000" w:rsidR="00000000" w:rsidRPr="00000000">
              <w:rPr>
                <w:rFonts w:ascii="Calibri" w:cs="Calibri" w:eastAsia="Calibri" w:hAnsi="Calibri"/>
                <w:color w:val="000000"/>
                <w:rtl w:val="0"/>
              </w:rPr>
              <w:t xml:space="preserve">Canarias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2.854</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4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2.776</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4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2.165</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4B">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-22,0%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C">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-24%</w:t>
            </w:r>
            <w:r w:rsidDel="00000000" w:rsidR="00000000" w:rsidRPr="00000000">
              <w:rPr>
                <w:rtl w:val="0"/>
              </w:rPr>
            </w:r>
          </w:p>
        </w:tc>
        <w:tc>
          <w:tcPr>
            <w:vAlign w:val="center"/>
          </w:tcPr>
          <w:p w:rsidR="00000000" w:rsidDel="00000000" w:rsidP="00000000" w:rsidRDefault="00000000" w:rsidRPr="00000000" w14:paraId="0000004D">
            <w:pPr>
              <w:rPr>
                <w:sz w:val="20"/>
                <w:szCs w:val="20"/>
              </w:rPr>
            </w:pPr>
            <w:r w:rsidDel="00000000" w:rsidR="00000000" w:rsidRPr="00000000">
              <w:rPr>
                <w:rtl w:val="0"/>
              </w:rPr>
            </w:r>
          </w:p>
        </w:tc>
      </w:tr>
      <w:tr>
        <w:trPr>
          <w:trHeight w:val="288"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4E">
            <w:pPr>
              <w:rPr>
                <w:rFonts w:ascii="Calibri" w:cs="Calibri" w:eastAsia="Calibri" w:hAnsi="Calibri"/>
                <w:color w:val="000000"/>
              </w:rPr>
            </w:pPr>
            <w:r w:rsidDel="00000000" w:rsidR="00000000" w:rsidRPr="00000000">
              <w:rPr>
                <w:rFonts w:ascii="Calibri" w:cs="Calibri" w:eastAsia="Calibri" w:hAnsi="Calibri"/>
                <w:color w:val="000000"/>
                <w:rtl w:val="0"/>
              </w:rPr>
              <w:t xml:space="preserve">Cantabria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4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1.378</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5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1.400</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5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1.083</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52">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-22,6%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3">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-21%</w:t>
            </w:r>
            <w:r w:rsidDel="00000000" w:rsidR="00000000" w:rsidRPr="00000000">
              <w:rPr>
                <w:rtl w:val="0"/>
              </w:rPr>
            </w:r>
          </w:p>
        </w:tc>
        <w:tc>
          <w:tcPr>
            <w:vAlign w:val="center"/>
          </w:tcPr>
          <w:p w:rsidR="00000000" w:rsidDel="00000000" w:rsidP="00000000" w:rsidRDefault="00000000" w:rsidRPr="00000000" w14:paraId="00000054">
            <w:pPr>
              <w:rPr>
                <w:sz w:val="20"/>
                <w:szCs w:val="20"/>
              </w:rPr>
            </w:pPr>
            <w:r w:rsidDel="00000000" w:rsidR="00000000" w:rsidRPr="00000000">
              <w:rPr>
                <w:rtl w:val="0"/>
              </w:rPr>
            </w:r>
          </w:p>
        </w:tc>
      </w:tr>
      <w:tr>
        <w:trPr>
          <w:trHeight w:val="169"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5">
            <w:pPr>
              <w:rPr>
                <w:rFonts w:ascii="Calibri" w:cs="Calibri" w:eastAsia="Calibri" w:hAnsi="Calibri"/>
                <w:color w:val="000000"/>
              </w:rPr>
            </w:pPr>
            <w:r w:rsidDel="00000000" w:rsidR="00000000" w:rsidRPr="00000000">
              <w:rPr>
                <w:rFonts w:ascii="Calibri" w:cs="Calibri" w:eastAsia="Calibri" w:hAnsi="Calibri"/>
                <w:color w:val="000000"/>
                <w:rtl w:val="0"/>
              </w:rPr>
              <w:t xml:space="preserve">Castilla - La Mancha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3.567</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5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6.590</w:t>
            </w:r>
          </w:p>
        </w:tc>
        <w:tc>
          <w:tcPr>
            <w:tcBorders>
              <w:top w:color="000000" w:space="0" w:sz="0" w:val="nil"/>
              <w:left w:color="000000" w:space="0" w:sz="0" w:val="nil"/>
              <w:bottom w:color="000000" w:space="0" w:sz="0" w:val="nil"/>
              <w:right w:color="000000" w:space="0" w:sz="8" w:val="single"/>
            </w:tcBorders>
            <w:shd w:fill="auto" w:val="clear"/>
          </w:tcPr>
          <w:p w:rsidR="00000000" w:rsidDel="00000000" w:rsidP="00000000" w:rsidRDefault="00000000" w:rsidRPr="00000000" w14:paraId="0000005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3.874</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59">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-41,2%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A">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9%</w:t>
            </w:r>
            <w:r w:rsidDel="00000000" w:rsidR="00000000" w:rsidRPr="00000000">
              <w:rPr>
                <w:rtl w:val="0"/>
              </w:rPr>
            </w:r>
          </w:p>
        </w:tc>
        <w:tc>
          <w:tcPr>
            <w:vAlign w:val="center"/>
          </w:tcPr>
          <w:p w:rsidR="00000000" w:rsidDel="00000000" w:rsidP="00000000" w:rsidRDefault="00000000" w:rsidRPr="00000000" w14:paraId="0000005B">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5C">
            <w:pPr>
              <w:rPr>
                <w:rFonts w:ascii="Calibri" w:cs="Calibri" w:eastAsia="Calibri" w:hAnsi="Calibri"/>
                <w:color w:val="000000"/>
              </w:rPr>
            </w:pPr>
            <w:r w:rsidDel="00000000" w:rsidR="00000000" w:rsidRPr="00000000">
              <w:rPr>
                <w:rFonts w:ascii="Calibri" w:cs="Calibri" w:eastAsia="Calibri" w:hAnsi="Calibri"/>
                <w:color w:val="000000"/>
                <w:rtl w:val="0"/>
              </w:rPr>
              <w:t xml:space="preserve">Castilla y León</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5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5.899</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5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6.582</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5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4.866</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60">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-26,1%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1">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-18%</w:t>
            </w:r>
            <w:r w:rsidDel="00000000" w:rsidR="00000000" w:rsidRPr="00000000">
              <w:rPr>
                <w:rtl w:val="0"/>
              </w:rPr>
            </w:r>
          </w:p>
        </w:tc>
        <w:tc>
          <w:tcPr>
            <w:vAlign w:val="center"/>
          </w:tcPr>
          <w:p w:rsidR="00000000" w:rsidDel="00000000" w:rsidP="00000000" w:rsidRDefault="00000000" w:rsidRPr="00000000" w14:paraId="00000062">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63">
            <w:pPr>
              <w:rPr>
                <w:rFonts w:ascii="Calibri" w:cs="Calibri" w:eastAsia="Calibri" w:hAnsi="Calibri"/>
                <w:color w:val="000000"/>
              </w:rPr>
            </w:pPr>
            <w:r w:rsidDel="00000000" w:rsidR="00000000" w:rsidRPr="00000000">
              <w:rPr>
                <w:rFonts w:ascii="Calibri" w:cs="Calibri" w:eastAsia="Calibri" w:hAnsi="Calibri"/>
                <w:color w:val="000000"/>
                <w:rtl w:val="0"/>
              </w:rPr>
              <w:t xml:space="preserve">Cataluña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34.985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6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28.054</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6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25.274</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67">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-9,9%</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8">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-28%</w:t>
            </w:r>
            <w:r w:rsidDel="00000000" w:rsidR="00000000" w:rsidRPr="00000000">
              <w:rPr>
                <w:rtl w:val="0"/>
              </w:rPr>
            </w:r>
          </w:p>
        </w:tc>
        <w:tc>
          <w:tcPr>
            <w:vAlign w:val="center"/>
          </w:tcPr>
          <w:p w:rsidR="00000000" w:rsidDel="00000000" w:rsidP="00000000" w:rsidRDefault="00000000" w:rsidRPr="00000000" w14:paraId="00000069">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6A">
            <w:pPr>
              <w:rPr>
                <w:rFonts w:ascii="Calibri" w:cs="Calibri" w:eastAsia="Calibri" w:hAnsi="Calibri"/>
                <w:color w:val="000000"/>
              </w:rPr>
            </w:pPr>
            <w:r w:rsidDel="00000000" w:rsidR="00000000" w:rsidRPr="00000000">
              <w:rPr>
                <w:rFonts w:ascii="Calibri" w:cs="Calibri" w:eastAsia="Calibri" w:hAnsi="Calibri"/>
                <w:color w:val="000000"/>
                <w:rtl w:val="0"/>
              </w:rPr>
              <w:t xml:space="preserve">Comunidad Valenciana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11.295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13.455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11.058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E">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-17,8%</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6F">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w:t>
            </w:r>
            <w:r w:rsidDel="00000000" w:rsidR="00000000" w:rsidRPr="00000000">
              <w:rPr>
                <w:rtl w:val="0"/>
              </w:rPr>
            </w:r>
          </w:p>
        </w:tc>
        <w:tc>
          <w:tcPr>
            <w:vAlign w:val="center"/>
          </w:tcPr>
          <w:p w:rsidR="00000000" w:rsidDel="00000000" w:rsidP="00000000" w:rsidRDefault="00000000" w:rsidRPr="00000000" w14:paraId="00000070">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1">
            <w:pPr>
              <w:rPr>
                <w:rFonts w:ascii="Calibri" w:cs="Calibri" w:eastAsia="Calibri" w:hAnsi="Calibri"/>
                <w:color w:val="000000"/>
              </w:rPr>
            </w:pPr>
            <w:r w:rsidDel="00000000" w:rsidR="00000000" w:rsidRPr="00000000">
              <w:rPr>
                <w:rFonts w:ascii="Calibri" w:cs="Calibri" w:eastAsia="Calibri" w:hAnsi="Calibri"/>
                <w:color w:val="000000"/>
                <w:rtl w:val="0"/>
              </w:rPr>
              <w:t xml:space="preserve">Extremadura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895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7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2.131</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7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1.565</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75">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-26,6%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6">
            <w:pPr>
              <w:jc w:val="center"/>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75%</w:t>
            </w:r>
            <w:r w:rsidDel="00000000" w:rsidR="00000000" w:rsidRPr="00000000">
              <w:rPr>
                <w:rtl w:val="0"/>
              </w:rPr>
            </w:r>
          </w:p>
        </w:tc>
        <w:tc>
          <w:tcPr>
            <w:vAlign w:val="center"/>
          </w:tcPr>
          <w:p w:rsidR="00000000" w:rsidDel="00000000" w:rsidP="00000000" w:rsidRDefault="00000000" w:rsidRPr="00000000" w14:paraId="00000077">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Galicia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6.265</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7A">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7.619</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7B">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5.245</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7C">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-31,2%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7D">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-16%</w:t>
            </w:r>
            <w:r w:rsidDel="00000000" w:rsidR="00000000" w:rsidRPr="00000000">
              <w:rPr>
                <w:rtl w:val="0"/>
              </w:rPr>
            </w:r>
          </w:p>
        </w:tc>
        <w:tc>
          <w:tcPr>
            <w:vAlign w:val="center"/>
          </w:tcPr>
          <w:p w:rsidR="00000000" w:rsidDel="00000000" w:rsidP="00000000" w:rsidRDefault="00000000" w:rsidRPr="00000000" w14:paraId="0000007E">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7F">
            <w:pPr>
              <w:rPr>
                <w:rFonts w:ascii="Calibri" w:cs="Calibri" w:eastAsia="Calibri" w:hAnsi="Calibri"/>
                <w:color w:val="000000"/>
              </w:rPr>
            </w:pPr>
            <w:r w:rsidDel="00000000" w:rsidR="00000000" w:rsidRPr="00000000">
              <w:rPr>
                <w:rFonts w:ascii="Calibri" w:cs="Calibri" w:eastAsia="Calibri" w:hAnsi="Calibri"/>
                <w:color w:val="000000"/>
                <w:rtl w:val="0"/>
              </w:rPr>
              <w:t xml:space="preserve">Illes Balears</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2.395</w:t>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81">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1.350</w:t>
            </w:r>
          </w:p>
        </w:tc>
        <w:tc>
          <w:tcPr>
            <w:tcBorders>
              <w:top w:color="000000" w:space="0" w:sz="0" w:val="nil"/>
              <w:left w:color="000000" w:space="0" w:sz="8" w:val="single"/>
              <w:bottom w:color="000000" w:space="0" w:sz="8" w:val="single"/>
              <w:right w:color="000000" w:space="0" w:sz="8" w:val="single"/>
            </w:tcBorders>
            <w:shd w:fill="auto" w:val="clear"/>
          </w:tcPr>
          <w:p w:rsidR="00000000" w:rsidDel="00000000" w:rsidP="00000000" w:rsidRDefault="00000000" w:rsidRPr="00000000" w14:paraId="00000082">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1.309</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83">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-3,0%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4">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-45%</w:t>
            </w:r>
            <w:r w:rsidDel="00000000" w:rsidR="00000000" w:rsidRPr="00000000">
              <w:rPr>
                <w:rtl w:val="0"/>
              </w:rPr>
            </w:r>
          </w:p>
        </w:tc>
        <w:tc>
          <w:tcPr>
            <w:vAlign w:val="center"/>
          </w:tcPr>
          <w:p w:rsidR="00000000" w:rsidDel="00000000" w:rsidP="00000000" w:rsidRDefault="00000000" w:rsidRPr="00000000" w14:paraId="00000085">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6">
            <w:pPr>
              <w:rPr>
                <w:rFonts w:ascii="Calibri" w:cs="Calibri" w:eastAsia="Calibri" w:hAnsi="Calibri"/>
                <w:color w:val="000000"/>
              </w:rPr>
            </w:pPr>
            <w:r w:rsidDel="00000000" w:rsidR="00000000" w:rsidRPr="00000000">
              <w:rPr>
                <w:rFonts w:ascii="Calibri" w:cs="Calibri" w:eastAsia="Calibri" w:hAnsi="Calibri"/>
                <w:color w:val="000000"/>
                <w:rtl w:val="0"/>
              </w:rPr>
              <w:t xml:space="preserve">La Rioja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619</w:t>
            </w:r>
          </w:p>
        </w:tc>
        <w:tc>
          <w:tcPr>
            <w:tcBorders>
              <w:top w:color="000000" w:space="0" w:sz="8" w:val="single"/>
              <w:left w:color="000000" w:space="0" w:sz="0" w:val="nil"/>
              <w:bottom w:color="000000" w:space="0" w:sz="8" w:val="single"/>
              <w:right w:color="000000" w:space="0" w:sz="8" w:val="single"/>
            </w:tcBorders>
            <w:shd w:fill="auto" w:val="clear"/>
          </w:tcPr>
          <w:p w:rsidR="00000000" w:rsidDel="00000000" w:rsidP="00000000" w:rsidRDefault="00000000" w:rsidRPr="00000000" w14:paraId="00000088">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593</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89">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554</w:t>
            </w:r>
          </w:p>
        </w:tc>
        <w:tc>
          <w:tcPr>
            <w:tcBorders>
              <w:top w:color="000000" w:space="0" w:sz="0" w:val="nil"/>
              <w:left w:color="000000" w:space="0" w:sz="0" w:val="nil"/>
              <w:bottom w:color="000000" w:space="0" w:sz="8" w:val="single"/>
              <w:right w:color="000000" w:space="0" w:sz="8" w:val="single"/>
            </w:tcBorders>
            <w:shd w:fill="ffffff" w:val="clear"/>
            <w:vAlign w:val="bottom"/>
          </w:tcPr>
          <w:p w:rsidR="00000000" w:rsidDel="00000000" w:rsidP="00000000" w:rsidRDefault="00000000" w:rsidRPr="00000000" w14:paraId="0000008A">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-6,6%</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B">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-11%</w:t>
            </w:r>
            <w:r w:rsidDel="00000000" w:rsidR="00000000" w:rsidRPr="00000000">
              <w:rPr>
                <w:rtl w:val="0"/>
              </w:rPr>
            </w:r>
          </w:p>
        </w:tc>
        <w:tc>
          <w:tcPr>
            <w:vAlign w:val="center"/>
          </w:tcPr>
          <w:p w:rsidR="00000000" w:rsidDel="00000000" w:rsidP="00000000" w:rsidRDefault="00000000" w:rsidRPr="00000000" w14:paraId="0000008C">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8D">
            <w:pPr>
              <w:rPr>
                <w:rFonts w:ascii="Calibri" w:cs="Calibri" w:eastAsia="Calibri" w:hAnsi="Calibri"/>
                <w:color w:val="000000"/>
              </w:rPr>
            </w:pPr>
            <w:r w:rsidDel="00000000" w:rsidR="00000000" w:rsidRPr="00000000">
              <w:rPr>
                <w:rFonts w:ascii="Calibri" w:cs="Calibri" w:eastAsia="Calibri" w:hAnsi="Calibri"/>
                <w:color w:val="000000"/>
                <w:rtl w:val="0"/>
              </w:rPr>
              <w:t xml:space="preserve">Madrid</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46.707</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8F">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32.051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0">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28.741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1">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2">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-38%</w:t>
            </w:r>
            <w:r w:rsidDel="00000000" w:rsidR="00000000" w:rsidRPr="00000000">
              <w:rPr>
                <w:rtl w:val="0"/>
              </w:rPr>
            </w:r>
          </w:p>
        </w:tc>
        <w:tc>
          <w:tcPr>
            <w:vAlign w:val="center"/>
          </w:tcPr>
          <w:p w:rsidR="00000000" w:rsidDel="00000000" w:rsidP="00000000" w:rsidRDefault="00000000" w:rsidRPr="00000000" w14:paraId="00000093">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4">
            <w:pPr>
              <w:rPr>
                <w:rFonts w:ascii="Calibri" w:cs="Calibri" w:eastAsia="Calibri" w:hAnsi="Calibri"/>
                <w:color w:val="000000"/>
              </w:rPr>
            </w:pPr>
            <w:r w:rsidDel="00000000" w:rsidR="00000000" w:rsidRPr="00000000">
              <w:rPr>
                <w:rFonts w:ascii="Calibri" w:cs="Calibri" w:eastAsia="Calibri" w:hAnsi="Calibri"/>
                <w:color w:val="000000"/>
                <w:rtl w:val="0"/>
              </w:rPr>
              <w:t xml:space="preserve">Murcia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1.600</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6">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2.174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7">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1.870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8">
            <w:pPr>
              <w:jc w:val="center"/>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 xml:space="preserve">-14%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9">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sz w:val="22"/>
                <w:szCs w:val="22"/>
                <w:rtl w:val="0"/>
              </w:rPr>
              <w:t xml:space="preserve">17%</w:t>
            </w:r>
            <w:r w:rsidDel="00000000" w:rsidR="00000000" w:rsidRPr="00000000">
              <w:rPr>
                <w:rtl w:val="0"/>
              </w:rPr>
            </w:r>
          </w:p>
        </w:tc>
        <w:tc>
          <w:tcPr>
            <w:vAlign w:val="center"/>
          </w:tcPr>
          <w:p w:rsidR="00000000" w:rsidDel="00000000" w:rsidP="00000000" w:rsidRDefault="00000000" w:rsidRPr="00000000" w14:paraId="0000009A">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9B">
            <w:pPr>
              <w:rPr>
                <w:rFonts w:ascii="Calibri" w:cs="Calibri" w:eastAsia="Calibri" w:hAnsi="Calibri"/>
                <w:color w:val="000000"/>
              </w:rPr>
            </w:pPr>
            <w:r w:rsidDel="00000000" w:rsidR="00000000" w:rsidRPr="00000000">
              <w:rPr>
                <w:rFonts w:ascii="Calibri" w:cs="Calibri" w:eastAsia="Calibri" w:hAnsi="Calibri"/>
                <w:color w:val="000000"/>
                <w:rtl w:val="0"/>
              </w:rPr>
              <w:t xml:space="preserve">Navarra</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C">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1.454</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D">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1.271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9E">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1.028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F">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-19,1%</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0">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-29%</w:t>
            </w:r>
            <w:r w:rsidDel="00000000" w:rsidR="00000000" w:rsidRPr="00000000">
              <w:rPr>
                <w:rtl w:val="0"/>
              </w:rPr>
            </w:r>
          </w:p>
        </w:tc>
        <w:tc>
          <w:tcPr>
            <w:vAlign w:val="center"/>
          </w:tcPr>
          <w:p w:rsidR="00000000" w:rsidDel="00000000" w:rsidP="00000000" w:rsidRDefault="00000000" w:rsidRPr="00000000" w14:paraId="000000A1">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A2">
            <w:pPr>
              <w:rPr>
                <w:rFonts w:ascii="Calibri" w:cs="Calibri" w:eastAsia="Calibri" w:hAnsi="Calibri"/>
                <w:color w:val="000000"/>
              </w:rPr>
            </w:pPr>
            <w:r w:rsidDel="00000000" w:rsidR="00000000" w:rsidRPr="00000000">
              <w:rPr>
                <w:rFonts w:ascii="Calibri" w:cs="Calibri" w:eastAsia="Calibri" w:hAnsi="Calibri"/>
                <w:color w:val="000000"/>
                <w:rtl w:val="0"/>
              </w:rPr>
              <w:t xml:space="preserve">País Vasco / Euskadi</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3">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6.253</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4">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5.225</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5">
            <w:pPr>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4.691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6">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-10,2%</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A7">
            <w:pPr>
              <w:jc w:val="center"/>
              <w:rPr>
                <w:rFonts w:ascii="Calibri" w:cs="Calibri" w:eastAsia="Calibri" w:hAnsi="Calibri"/>
                <w:color w:val="ff0000"/>
                <w:sz w:val="22"/>
                <w:szCs w:val="22"/>
                <w:highlight w:val="yellow"/>
              </w:rPr>
            </w:pPr>
            <w:r w:rsidDel="00000000" w:rsidR="00000000" w:rsidRPr="00000000">
              <w:rPr>
                <w:rFonts w:ascii="Calibri" w:cs="Calibri" w:eastAsia="Calibri" w:hAnsi="Calibri"/>
                <w:color w:val="ff0000"/>
                <w:sz w:val="22"/>
                <w:szCs w:val="22"/>
                <w:rtl w:val="0"/>
              </w:rPr>
              <w:t xml:space="preserve">-25%</w:t>
            </w:r>
            <w:r w:rsidDel="00000000" w:rsidR="00000000" w:rsidRPr="00000000">
              <w:rPr>
                <w:rtl w:val="0"/>
              </w:rPr>
            </w:r>
          </w:p>
        </w:tc>
        <w:tc>
          <w:tcPr>
            <w:vAlign w:val="center"/>
          </w:tcPr>
          <w:p w:rsidR="00000000" w:rsidDel="00000000" w:rsidP="00000000" w:rsidRDefault="00000000" w:rsidRPr="00000000" w14:paraId="000000A8">
            <w:pPr>
              <w:rPr>
                <w:sz w:val="20"/>
                <w:szCs w:val="20"/>
              </w:rPr>
            </w:pP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shd w:fill="0070c0" w:val="clear"/>
            <w:vAlign w:val="bottom"/>
          </w:tcPr>
          <w:p w:rsidR="00000000" w:rsidDel="00000000" w:rsidP="00000000" w:rsidRDefault="00000000" w:rsidRPr="00000000" w14:paraId="000000A9">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Total general</w:t>
            </w:r>
          </w:p>
        </w:tc>
        <w:tc>
          <w:tcPr>
            <w:tcBorders>
              <w:top w:color="000000" w:space="0" w:sz="0" w:val="nil"/>
              <w:left w:color="000000" w:space="0" w:sz="0" w:val="nil"/>
              <w:bottom w:color="000000" w:space="0" w:sz="8" w:val="single"/>
              <w:right w:color="000000" w:space="0" w:sz="8" w:val="single"/>
            </w:tcBorders>
            <w:shd w:fill="0070c0" w:val="clear"/>
            <w:vAlign w:val="bottom"/>
          </w:tcPr>
          <w:p w:rsidR="00000000" w:rsidDel="00000000" w:rsidP="00000000" w:rsidRDefault="00000000" w:rsidRPr="00000000" w14:paraId="000000AA">
            <w:pPr>
              <w:jc w:val="center"/>
              <w:rPr>
                <w:rFonts w:ascii="Calibri" w:cs="Calibri" w:eastAsia="Calibri" w:hAnsi="Calibri"/>
                <w:b w:val="1"/>
                <w:color w:val="ffffff"/>
                <w:sz w:val="22"/>
                <w:szCs w:val="22"/>
                <w:highlight w:val="yellow"/>
              </w:rPr>
            </w:pPr>
            <w:r w:rsidDel="00000000" w:rsidR="00000000" w:rsidRPr="00000000">
              <w:rPr>
                <w:rFonts w:ascii="Calibri" w:cs="Calibri" w:eastAsia="Calibri" w:hAnsi="Calibri"/>
                <w:b w:val="1"/>
                <w:color w:val="ffffff"/>
                <w:sz w:val="22"/>
                <w:szCs w:val="22"/>
                <w:rtl w:val="0"/>
              </w:rPr>
              <w:t xml:space="preserve">145.698</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0070c0" w:val="clear"/>
            <w:vAlign w:val="bottom"/>
          </w:tcPr>
          <w:p w:rsidR="00000000" w:rsidDel="00000000" w:rsidP="00000000" w:rsidRDefault="00000000" w:rsidRPr="00000000" w14:paraId="000000AB">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129.675</w:t>
            </w:r>
          </w:p>
        </w:tc>
        <w:tc>
          <w:tcPr>
            <w:tcBorders>
              <w:top w:color="000000" w:space="0" w:sz="0" w:val="nil"/>
              <w:left w:color="000000" w:space="0" w:sz="0" w:val="nil"/>
              <w:bottom w:color="000000" w:space="0" w:sz="8" w:val="single"/>
              <w:right w:color="000000" w:space="0" w:sz="8" w:val="single"/>
            </w:tcBorders>
            <w:shd w:fill="0070c0" w:val="clear"/>
            <w:vAlign w:val="bottom"/>
          </w:tcPr>
          <w:p w:rsidR="00000000" w:rsidDel="00000000" w:rsidP="00000000" w:rsidRDefault="00000000" w:rsidRPr="00000000" w14:paraId="000000AC">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112.033</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AD">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-13,6%</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AE">
            <w:pPr>
              <w:jc w:val="center"/>
              <w:rPr>
                <w:rFonts w:ascii="Calibri" w:cs="Calibri" w:eastAsia="Calibri" w:hAnsi="Calibri"/>
                <w:b w:val="1"/>
                <w:color w:val="ffffff"/>
                <w:sz w:val="22"/>
                <w:szCs w:val="22"/>
                <w:highlight w:val="yellow"/>
              </w:rPr>
            </w:pPr>
            <w:r w:rsidDel="00000000" w:rsidR="00000000" w:rsidRPr="00000000">
              <w:rPr>
                <w:rFonts w:ascii="Calibri" w:cs="Calibri" w:eastAsia="Calibri" w:hAnsi="Calibri"/>
                <w:b w:val="1"/>
                <w:color w:val="ffffff"/>
                <w:sz w:val="22"/>
                <w:szCs w:val="22"/>
                <w:rtl w:val="0"/>
              </w:rPr>
              <w:t xml:space="preserve">-23%</w:t>
            </w:r>
            <w:r w:rsidDel="00000000" w:rsidR="00000000" w:rsidRPr="00000000">
              <w:rPr>
                <w:rtl w:val="0"/>
              </w:rPr>
            </w:r>
          </w:p>
        </w:tc>
        <w:tc>
          <w:tcPr>
            <w:vAlign w:val="center"/>
          </w:tcPr>
          <w:p w:rsidR="00000000" w:rsidDel="00000000" w:rsidP="00000000" w:rsidRDefault="00000000" w:rsidRPr="00000000" w14:paraId="000000AF">
            <w:pPr>
              <w:rPr>
                <w:sz w:val="20"/>
                <w:szCs w:val="20"/>
              </w:rPr>
            </w:pPr>
            <w:r w:rsidDel="00000000" w:rsidR="00000000" w:rsidRPr="00000000">
              <w:rPr>
                <w:rtl w:val="0"/>
              </w:rPr>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1">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Información adicional:</w:t>
      </w:r>
    </w:p>
    <w:p w:rsidR="00000000" w:rsidDel="00000000" w:rsidP="00000000" w:rsidRDefault="00000000" w:rsidRPr="00000000" w14:paraId="000000B3">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u w:val="single"/>
        </w:rPr>
      </w:pPr>
      <w:r w:rsidDel="00000000" w:rsidR="00000000" w:rsidRPr="00000000">
        <w:rPr>
          <w:rFonts w:ascii="Arial" w:cs="Arial" w:eastAsia="Arial" w:hAnsi="Arial"/>
          <w:color w:val="000000"/>
          <w:sz w:val="20"/>
          <w:szCs w:val="20"/>
          <w:highlight w:val="white"/>
          <w:rtl w:val="0"/>
        </w:rPr>
        <w:t xml:space="preserve">Para acceder al histórico de otros meses puedes acceder a </w:t>
      </w:r>
      <w:hyperlink r:id="rId8">
        <w:r w:rsidDel="00000000" w:rsidR="00000000" w:rsidRPr="00000000">
          <w:rPr>
            <w:rFonts w:ascii="Arial" w:cs="Arial" w:eastAsia="Arial" w:hAnsi="Arial"/>
            <w:color w:val="005180"/>
            <w:sz w:val="20"/>
            <w:szCs w:val="20"/>
            <w:highlight w:val="white"/>
            <w:u w:val="single"/>
            <w:rtl w:val="0"/>
          </w:rPr>
          <w:t xml:space="preserve">Indicadores InfoJobs</w:t>
        </w:r>
      </w:hyperlink>
      <w:r w:rsidDel="00000000" w:rsidR="00000000" w:rsidRPr="00000000">
        <w:rPr>
          <w:rFonts w:ascii="Arial" w:cs="Arial" w:eastAsia="Arial" w:hAnsi="Arial"/>
          <w:color w:val="005180"/>
          <w:sz w:val="20"/>
          <w:szCs w:val="20"/>
          <w:highlight w:val="white"/>
          <w:u w:val="single"/>
          <w:rtl w:val="0"/>
        </w:rPr>
        <w:t xml:space="preserve">.</w:t>
      </w:r>
      <w:r w:rsidDel="00000000" w:rsidR="00000000" w:rsidRPr="00000000">
        <w:rPr>
          <w:rtl w:val="0"/>
        </w:rPr>
      </w:r>
    </w:p>
    <w:p w:rsidR="00000000" w:rsidDel="00000000" w:rsidP="00000000" w:rsidRDefault="00000000" w:rsidRPr="00000000" w14:paraId="000000B4">
      <w:pPr>
        <w:spacing w:line="360" w:lineRule="auto"/>
        <w:jc w:val="both"/>
        <w:rPr>
          <w:rFonts w:ascii="Arial" w:cs="Arial" w:eastAsia="Arial" w:hAnsi="Arial"/>
          <w:b w:val="1"/>
          <w:color w:val="808080"/>
          <w:sz w:val="16"/>
          <w:szCs w:val="16"/>
          <w:u w:val="single"/>
        </w:rPr>
      </w:pPr>
      <w:r w:rsidDel="00000000" w:rsidR="00000000" w:rsidRPr="00000000">
        <w:rPr>
          <w:rtl w:val="0"/>
        </w:rPr>
      </w:r>
    </w:p>
    <w:p w:rsidR="00000000" w:rsidDel="00000000" w:rsidP="00000000" w:rsidRDefault="00000000" w:rsidRPr="00000000" w14:paraId="000000B5">
      <w:pPr>
        <w:spacing w:line="360" w:lineRule="auto"/>
        <w:jc w:val="both"/>
        <w:rPr>
          <w:rFonts w:ascii="Arial" w:cs="Arial" w:eastAsia="Arial" w:hAnsi="Arial"/>
          <w:color w:val="808080"/>
          <w:sz w:val="16"/>
          <w:szCs w:val="16"/>
          <w:u w:val="single"/>
        </w:rPr>
      </w:pPr>
      <w:r w:rsidDel="00000000" w:rsidR="00000000" w:rsidRPr="00000000">
        <w:rPr>
          <w:rFonts w:ascii="Arial" w:cs="Arial" w:eastAsia="Arial" w:hAnsi="Arial"/>
          <w:color w:val="808080"/>
          <w:sz w:val="16"/>
          <w:szCs w:val="16"/>
          <w:u w:val="single"/>
          <w:rtl w:val="0"/>
        </w:rPr>
        <w:t xml:space="preserve">Sobre InfoJobs</w:t>
      </w:r>
    </w:p>
    <w:p w:rsidR="00000000" w:rsidDel="00000000" w:rsidP="00000000" w:rsidRDefault="00000000" w:rsidRPr="00000000" w14:paraId="000000B6">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Plataforma líder en España para encontrar las mejores oportunidades profesionales y el mejor talento. En el último año, InfoJobs ha publicado más de 3,3 millones de posiciones vacantes. Cuenta cada mes con 40 millones de visitas (el 85% proceden de dispositivos móviles) y 6 millones de usuarios activos. (Fuente datos: Adobe Analytics 2019).</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rFonts w:ascii="Arial" w:cs="Arial" w:eastAsia="Arial" w:hAnsi="Arial"/>
          <w:color w:val="808080"/>
          <w:sz w:val="16"/>
          <w:szCs w:val="16"/>
          <w:rtl w:val="0"/>
        </w:rPr>
        <w:t xml:space="preserve">InfoJobs pertenece a Adevinta, una compañía líder en marketplaces digitales y una de las principales empresas del sector tecnológico del país, con más de 18 millones de usuarios al mes en sus plataformas de los sectores inmobiliario (</w:t>
      </w:r>
      <w:hyperlink r:id="rId9">
        <w:r w:rsidDel="00000000" w:rsidR="00000000" w:rsidRPr="00000000">
          <w:rPr>
            <w:rFonts w:ascii="Arial" w:cs="Arial" w:eastAsia="Arial" w:hAnsi="Arial"/>
            <w:color w:val="808080"/>
            <w:sz w:val="16"/>
            <w:szCs w:val="16"/>
            <w:u w:val="single"/>
            <w:rtl w:val="0"/>
          </w:rPr>
          <w:t xml:space="preserve">Fotocasa</w:t>
        </w:r>
      </w:hyperlink>
      <w:r w:rsidDel="00000000" w:rsidR="00000000" w:rsidRPr="00000000">
        <w:rPr>
          <w:rFonts w:ascii="Arial" w:cs="Arial" w:eastAsia="Arial" w:hAnsi="Arial"/>
          <w:color w:val="808080"/>
          <w:sz w:val="16"/>
          <w:szCs w:val="16"/>
          <w:rtl w:val="0"/>
        </w:rPr>
        <w:t xml:space="preserve"> y </w:t>
      </w:r>
      <w:hyperlink r:id="rId10">
        <w:r w:rsidDel="00000000" w:rsidR="00000000" w:rsidRPr="00000000">
          <w:rPr>
            <w:rFonts w:ascii="Arial" w:cs="Arial" w:eastAsia="Arial" w:hAnsi="Arial"/>
            <w:color w:val="808080"/>
            <w:sz w:val="16"/>
            <w:szCs w:val="16"/>
            <w:u w:val="single"/>
            <w:rtl w:val="0"/>
          </w:rPr>
          <w:t xml:space="preserve">habitaclia</w:t>
        </w:r>
      </w:hyperlink>
      <w:r w:rsidDel="00000000" w:rsidR="00000000" w:rsidRPr="00000000">
        <w:rPr>
          <w:rFonts w:ascii="Arial" w:cs="Arial" w:eastAsia="Arial" w:hAnsi="Arial"/>
          <w:color w:val="808080"/>
          <w:sz w:val="16"/>
          <w:szCs w:val="16"/>
          <w:rtl w:val="0"/>
        </w:rPr>
        <w:t xml:space="preserve">), empleo (</w:t>
      </w:r>
      <w:hyperlink r:id="rId11">
        <w:r w:rsidDel="00000000" w:rsidR="00000000" w:rsidRPr="00000000">
          <w:rPr>
            <w:rFonts w:ascii="Arial" w:cs="Arial" w:eastAsia="Arial" w:hAnsi="Arial"/>
            <w:color w:val="808080"/>
            <w:sz w:val="16"/>
            <w:szCs w:val="16"/>
            <w:u w:val="single"/>
            <w:rtl w:val="0"/>
          </w:rPr>
          <w:t xml:space="preserve">InfoJobs</w:t>
        </w:r>
      </w:hyperlink>
      <w:r w:rsidDel="00000000" w:rsidR="00000000" w:rsidRPr="00000000">
        <w:rPr>
          <w:rFonts w:ascii="Arial" w:cs="Arial" w:eastAsia="Arial" w:hAnsi="Arial"/>
          <w:color w:val="808080"/>
          <w:sz w:val="16"/>
          <w:szCs w:val="16"/>
          <w:rtl w:val="0"/>
        </w:rPr>
        <w:t xml:space="preserve">), motor (</w:t>
      </w:r>
      <w:hyperlink r:id="rId12">
        <w:r w:rsidDel="00000000" w:rsidR="00000000" w:rsidRPr="00000000">
          <w:rPr>
            <w:rFonts w:ascii="Arial" w:cs="Arial" w:eastAsia="Arial" w:hAnsi="Arial"/>
            <w:color w:val="808080"/>
            <w:sz w:val="16"/>
            <w:szCs w:val="16"/>
            <w:u w:val="single"/>
            <w:rtl w:val="0"/>
          </w:rPr>
          <w:t xml:space="preserve">coches.net</w:t>
        </w:r>
      </w:hyperlink>
      <w:r w:rsidDel="00000000" w:rsidR="00000000" w:rsidRPr="00000000">
        <w:rPr>
          <w:rFonts w:ascii="Arial" w:cs="Arial" w:eastAsia="Arial" w:hAnsi="Arial"/>
          <w:color w:val="808080"/>
          <w:sz w:val="16"/>
          <w:szCs w:val="16"/>
          <w:rtl w:val="0"/>
        </w:rPr>
        <w:t xml:space="preserve"> y </w:t>
      </w:r>
      <w:hyperlink r:id="rId13">
        <w:r w:rsidDel="00000000" w:rsidR="00000000" w:rsidRPr="00000000">
          <w:rPr>
            <w:rFonts w:ascii="Arial" w:cs="Arial" w:eastAsia="Arial" w:hAnsi="Arial"/>
            <w:color w:val="808080"/>
            <w:sz w:val="16"/>
            <w:szCs w:val="16"/>
            <w:u w:val="single"/>
            <w:rtl w:val="0"/>
          </w:rPr>
          <w:t xml:space="preserve">motos.net</w:t>
        </w:r>
      </w:hyperlink>
      <w:r w:rsidDel="00000000" w:rsidR="00000000" w:rsidRPr="00000000">
        <w:rPr>
          <w:rFonts w:ascii="Arial" w:cs="Arial" w:eastAsia="Arial" w:hAnsi="Arial"/>
          <w:color w:val="808080"/>
          <w:sz w:val="16"/>
          <w:szCs w:val="16"/>
          <w:rtl w:val="0"/>
        </w:rPr>
        <w:t xml:space="preserve">) y compraventa de artículos de segunda mano (</w:t>
      </w:r>
      <w:hyperlink r:id="rId14">
        <w:r w:rsidDel="00000000" w:rsidR="00000000" w:rsidRPr="00000000">
          <w:rPr>
            <w:rFonts w:ascii="Arial" w:cs="Arial" w:eastAsia="Arial" w:hAnsi="Arial"/>
            <w:color w:val="808080"/>
            <w:sz w:val="16"/>
            <w:szCs w:val="16"/>
            <w:u w:val="single"/>
            <w:rtl w:val="0"/>
          </w:rPr>
          <w:t xml:space="preserve">Milanuncios</w:t>
        </w:r>
      </w:hyperlink>
      <w:r w:rsidDel="00000000" w:rsidR="00000000" w:rsidRPr="00000000">
        <w:rPr>
          <w:rFonts w:ascii="Arial" w:cs="Arial" w:eastAsia="Arial" w:hAnsi="Arial"/>
          <w:color w:val="808080"/>
          <w:sz w:val="16"/>
          <w:szCs w:val="16"/>
          <w:rtl w:val="0"/>
        </w:rPr>
        <w:t xml:space="preserve">).</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jc w:val="both"/>
        <w:rPr>
          <w:color w:val="000000"/>
        </w:rPr>
      </w:pPr>
      <w:r w:rsidDel="00000000" w:rsidR="00000000" w:rsidRPr="00000000">
        <w:rPr>
          <w:color w:val="000000"/>
          <w:rtl w:val="0"/>
        </w:rPr>
        <w:t xml:space="preserve"> </w:t>
      </w:r>
    </w:p>
    <w:p w:rsidR="00000000" w:rsidDel="00000000" w:rsidP="00000000" w:rsidRDefault="00000000" w:rsidRPr="00000000" w14:paraId="000000BA">
      <w:pPr>
        <w:spacing w:line="252.00000000000003" w:lineRule="auto"/>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Adevinta en España, antes Schibsted Spain, cuenta con una plantilla de 1.100 empleados. Además de en España, Adevinta tiene presencia en 12 países más de Europa y América Latina. El conjunto de sus plataformas locales recibe un promedio de 1.500 millones de visitas cada mes. Más información en </w:t>
      </w:r>
      <w:hyperlink r:id="rId15">
        <w:r w:rsidDel="00000000" w:rsidR="00000000" w:rsidRPr="00000000">
          <w:rPr>
            <w:rFonts w:ascii="Arial" w:cs="Arial" w:eastAsia="Arial" w:hAnsi="Arial"/>
            <w:color w:val="808080"/>
            <w:sz w:val="16"/>
            <w:szCs w:val="16"/>
            <w:u w:val="single"/>
            <w:rtl w:val="0"/>
          </w:rPr>
          <w:t xml:space="preserve">adevinta.es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BB">
      <w:pPr>
        <w:spacing w:line="252.00000000000003"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BC">
      <w:pPr>
        <w:spacing w:line="360" w:lineRule="auto"/>
        <w:jc w:val="both"/>
        <w:rPr>
          <w:rFonts w:ascii="Arial" w:cs="Arial" w:eastAsia="Arial" w:hAnsi="Arial"/>
          <w:b w:val="1"/>
          <w:color w:val="7f7f7f"/>
          <w:sz w:val="18"/>
          <w:szCs w:val="18"/>
        </w:rPr>
      </w:pPr>
      <w:r w:rsidDel="00000000" w:rsidR="00000000" w:rsidRPr="00000000">
        <w:rPr>
          <w:rFonts w:ascii="Arial" w:cs="Arial" w:eastAsia="Arial" w:hAnsi="Arial"/>
          <w:b w:val="1"/>
          <w:color w:val="7f7f7f"/>
          <w:sz w:val="18"/>
          <w:szCs w:val="18"/>
          <w:rtl w:val="0"/>
        </w:rPr>
        <w:t xml:space="preserve">Contacto</w:t>
      </w:r>
      <w:r w:rsidDel="00000000" w:rsidR="00000000" w:rsidRPr="00000000">
        <w:rPr>
          <w:rFonts w:ascii="Arial" w:cs="Arial" w:eastAsia="Arial" w:hAnsi="Arial"/>
          <w:color w:val="7f7f7f"/>
          <w:sz w:val="18"/>
          <w:szCs w:val="18"/>
          <w:rtl w:val="0"/>
        </w:rPr>
        <w:t xml:space="preserve">:</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jc w:val="both"/>
        <w:rPr>
          <w:rFonts w:ascii="Arial" w:cs="Arial" w:eastAsia="Arial" w:hAnsi="Arial"/>
          <w:strike w:val="1"/>
          <w:color w:val="ff0000"/>
          <w:sz w:val="18"/>
          <w:szCs w:val="18"/>
        </w:rPr>
      </w:pPr>
      <w:r w:rsidDel="00000000" w:rsidR="00000000" w:rsidRPr="00000000">
        <w:rPr>
          <w:rFonts w:ascii="Arial" w:cs="Arial" w:eastAsia="Arial" w:hAnsi="Arial"/>
          <w:b w:val="1"/>
          <w:color w:val="7f7f7f"/>
          <w:sz w:val="18"/>
          <w:szCs w:val="18"/>
          <w:rtl w:val="0"/>
        </w:rPr>
        <w:t xml:space="preserve">InfoJobs</w:t>
      </w:r>
      <w:r w:rsidDel="00000000" w:rsidR="00000000" w:rsidRPr="00000000">
        <w:rPr>
          <w:rFonts w:ascii="Arial" w:cs="Arial" w:eastAsia="Arial" w:hAnsi="Arial"/>
          <w:color w:val="7f7f7f"/>
          <w:sz w:val="18"/>
          <w:szCs w:val="18"/>
          <w:rtl w:val="0"/>
        </w:rPr>
        <w:t xml:space="preserve">: Mónica Pérez Callejo</w:t>
        <w:tab/>
      </w:r>
      <w:r w:rsidDel="00000000" w:rsidR="00000000" w:rsidRPr="00000000">
        <w:rPr>
          <w:rFonts w:ascii="Arial" w:cs="Arial" w:eastAsia="Arial" w:hAnsi="Arial"/>
          <w:color w:val="808080"/>
          <w:sz w:val="18"/>
          <w:szCs w:val="18"/>
          <w:rtl w:val="0"/>
        </w:rPr>
        <w:tab/>
        <w:t xml:space="preserve">  </w:t>
        <w:tab/>
        <w:t xml:space="preserve">  </w:t>
        <w:tab/>
        <w:t xml:space="preserve"> </w:t>
      </w: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Pablo Gutiérrez / Albert Cuesta</w:t>
      </w:r>
      <w:r w:rsidDel="00000000" w:rsidR="00000000" w:rsidRPr="00000000">
        <w:rPr>
          <w:rtl w:val="0"/>
        </w:rPr>
      </w:r>
    </w:p>
    <w:p w:rsidR="00000000" w:rsidDel="00000000" w:rsidP="00000000" w:rsidRDefault="00000000" w:rsidRPr="00000000" w14:paraId="000000BE">
      <w:pPr>
        <w:jc w:val="both"/>
        <w:rPr>
          <w:rFonts w:ascii="Arial" w:cs="Arial" w:eastAsia="Arial" w:hAnsi="Arial"/>
          <w:color w:val="7f7f7f"/>
          <w:sz w:val="18"/>
          <w:szCs w:val="18"/>
        </w:rPr>
      </w:pPr>
      <w:hyperlink r:id="rId16">
        <w:r w:rsidDel="00000000" w:rsidR="00000000" w:rsidRPr="00000000">
          <w:rPr>
            <w:rFonts w:ascii="Arial" w:cs="Arial" w:eastAsia="Arial" w:hAnsi="Arial"/>
            <w:b w:val="1"/>
            <w:color w:val="0070c0"/>
            <w:sz w:val="18"/>
            <w:szCs w:val="18"/>
            <w:rtl w:val="0"/>
          </w:rPr>
          <w:t xml:space="preserve">prensa@infojobs.net</w:t>
        </w:r>
      </w:hyperlink>
      <w:r w:rsidDel="00000000" w:rsidR="00000000" w:rsidRPr="00000000">
        <w:rPr>
          <w:rFonts w:ascii="Arial" w:cs="Arial" w:eastAsia="Arial" w:hAnsi="Arial"/>
          <w:color w:val="4f81bd"/>
          <w:sz w:val="18"/>
          <w:szCs w:val="18"/>
          <w:rtl w:val="0"/>
        </w:rPr>
        <w:tab/>
        <w:tab/>
        <w:tab/>
        <w:tab/>
        <w:t xml:space="preserve"> </w:t>
        <w:tab/>
        <w:t xml:space="preserve"> </w:t>
      </w:r>
      <w:hyperlink r:id="rId17">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BF">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808080"/>
          <w:sz w:val="16"/>
          <w:szCs w:val="16"/>
        </w:rPr>
      </w:pPr>
      <w:r w:rsidDel="00000000" w:rsidR="00000000" w:rsidRPr="00000000">
        <w:rPr>
          <w:rtl w:val="0"/>
        </w:rPr>
        <w:t xml:space="preserve">     </w:t>
      </w:r>
      <w:r w:rsidDel="00000000" w:rsidR="00000000" w:rsidRPr="00000000">
        <w:rPr>
          <w:rFonts w:ascii="Arial" w:cs="Arial" w:eastAsia="Arial" w:hAnsi="Arial"/>
          <w:color w:val="808080"/>
          <w:sz w:val="16"/>
          <w:szCs w:val="16"/>
          <w:rtl w:val="0"/>
        </w:rPr>
        <w:t xml:space="preserve">   </w:t>
        <w:tab/>
        <w:t xml:space="preserve">                    </w:t>
        <w:tab/>
        <w:tab/>
        <w:tab/>
        <w:t xml:space="preserve"> </w:t>
        <w:tab/>
        <w:t xml:space="preserve">                 T. </w:t>
      </w:r>
      <w:r w:rsidDel="00000000" w:rsidR="00000000" w:rsidRPr="00000000">
        <w:rPr>
          <w:rFonts w:ascii="Arial" w:cs="Arial" w:eastAsia="Arial" w:hAnsi="Arial"/>
          <w:color w:val="7f7f7f"/>
          <w:sz w:val="18"/>
          <w:szCs w:val="18"/>
          <w:rtl w:val="0"/>
        </w:rPr>
        <w:t xml:space="preserve">34 93 415 37 05 - 676 86 98 56</w:t>
      </w:r>
      <w:r w:rsidDel="00000000" w:rsidR="00000000" w:rsidRPr="00000000">
        <w:rPr>
          <w:rtl w:val="0"/>
        </w:rPr>
      </w:r>
    </w:p>
    <w:p w:rsidR="00000000" w:rsidDel="00000000" w:rsidP="00000000" w:rsidRDefault="00000000" w:rsidRPr="00000000" w14:paraId="000000C0">
      <w:pPr>
        <w:spacing w:line="360" w:lineRule="auto"/>
        <w:ind w:hanging="2"/>
        <w:jc w:val="both"/>
        <w:rPr>
          <w:rFonts w:ascii="Arial" w:cs="Arial" w:eastAsia="Arial" w:hAnsi="Arial"/>
          <w:sz w:val="20"/>
          <w:szCs w:val="20"/>
          <w:highlight w:val="white"/>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6838" w:w="11906" w:orient="portrait"/>
      <w:pgMar w:bottom="1134" w:top="1276" w:left="1418" w:right="14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3a7ab2"/>
        <w:sz w:val="28"/>
        <w:szCs w:val="28"/>
      </w:rPr>
      <w:drawing>
        <wp:anchor allowOverlap="1" behindDoc="0" distB="152400" distT="152400" distL="152400" distR="152400" hidden="0" layoutInCell="1" locked="0" relativeHeight="0" simplePos="0">
          <wp:simplePos x="0" y="0"/>
          <wp:positionH relativeFrom="margin">
            <wp:posOffset>5429250</wp:posOffset>
          </wp:positionH>
          <wp:positionV relativeFrom="page">
            <wp:posOffset>0</wp:posOffset>
          </wp:positionV>
          <wp:extent cx="720001" cy="720001"/>
          <wp:effectExtent b="0" l="0" r="0" t="0"/>
          <wp:wrapSquare wrapText="bothSides" distB="152400" distT="152400" distL="152400" distR="152400"/>
          <wp:docPr id="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0001" cy="720001"/>
                  </a:xfrm>
                  <a:prstGeom prst="rect"/>
                  <a:ln/>
                </pic:spPr>
              </pic:pic>
            </a:graphicData>
          </a:graphic>
        </wp:anchor>
      </w:drawing>
    </w:r>
    <w:r w:rsidDel="00000000" w:rsidR="00000000" w:rsidRPr="00000000">
      <w:rPr>
        <w:rFonts w:ascii="Arial" w:cs="Arial" w:eastAsia="Arial" w:hAnsi="Arial"/>
        <w:color w:val="919191"/>
        <w:rtl w:val="0"/>
      </w:rPr>
      <w:t xml:space="preserve">Análisis de Indicadores InfoJobs diciembre 2020</w:t>
    </w:r>
    <w:r w:rsidDel="00000000" w:rsidR="00000000" w:rsidRPr="00000000">
      <w:drawing>
        <wp:anchor allowOverlap="1" behindDoc="0" distB="0" distT="0" distL="114300" distR="114300" hidden="0" layoutInCell="1" locked="0" relativeHeight="0" simplePos="0">
          <wp:simplePos x="0" y="0"/>
          <wp:positionH relativeFrom="column">
            <wp:posOffset>-558156</wp:posOffset>
          </wp:positionH>
          <wp:positionV relativeFrom="paragraph">
            <wp:posOffset>-164456</wp:posOffset>
          </wp:positionV>
          <wp:extent cx="1133475" cy="361950"/>
          <wp:effectExtent b="0" l="0" r="0" t="0"/>
          <wp:wrapSquare wrapText="bothSides" distB="0" distT="0" distL="114300" distR="114300"/>
          <wp:docPr id="3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33475" cy="361950"/>
                  </a:xfrm>
                  <a:prstGeom prst="rect"/>
                  <a:ln/>
                </pic:spPr>
              </pic:pic>
            </a:graphicData>
          </a:graphic>
        </wp:anchor>
      </w:drawing>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919191"/>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3a7ab2"/>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next w:val="Cuerpo"/>
    <w:uiPriority w:val="10"/>
    <w:qFormat w:val="1"/>
    <w:pPr>
      <w:keepNext w:val="1"/>
    </w:pPr>
    <w:rPr>
      <w:rFonts w:ascii="Helvetica Neue" w:cs="Arial Unicode MS" w:hAnsi="Helvetica Neue"/>
      <w:b w:val="1"/>
      <w:bCs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9"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Arial" w:cs="Arial Unicode MS" w:hAnsi="Arial"/>
      <w:color w:val="3a7ab2"/>
      <w:sz w:val="28"/>
      <w:szCs w:val="28"/>
    </w:rPr>
  </w:style>
  <w:style w:type="paragraph" w:styleId="Cuerpo" w:customStyle="1">
    <w:name w:val="Cuerpo"/>
    <w:rPr>
      <w:rFonts w:ascii="Helvetica Neue" w:cs="Helvetica Neue" w:eastAsia="Helvetica Neue" w:hAnsi="Helvetica Neue"/>
      <w:color w:val="000000"/>
      <w:sz w:val="22"/>
      <w:szCs w:val="22"/>
    </w:rPr>
  </w:style>
  <w:style w:type="paragraph" w:styleId="Cuerpo-Blue" w:customStyle="1">
    <w:name w:val="Cuerpo - Blue"/>
    <w:pPr>
      <w:jc w:val="both"/>
    </w:pPr>
    <w:rPr>
      <w:rFonts w:ascii="Arial" w:cs="Arial Unicode MS" w:hAnsi="Arial"/>
      <w:color w:val="3a7ab2"/>
      <w:u w:color="27aae1"/>
    </w:rPr>
  </w:style>
  <w:style w:type="character" w:styleId="Ninguno" w:customStyle="1">
    <w:name w:val="Ninguno"/>
    <w:rPr>
      <w:lang w:val="es-ES_tradnl"/>
    </w:rPr>
  </w:style>
  <w:style w:type="paragraph" w:styleId="Destacado" w:customStyle="1">
    <w:name w:val="Destacado"/>
    <w:pPr>
      <w:spacing w:line="288" w:lineRule="auto"/>
    </w:pPr>
    <w:rPr>
      <w:rFonts w:ascii="Arial" w:cs="Arial Unicode MS" w:hAnsi="Arial"/>
      <w:color w:val="3a7ab2"/>
      <w:sz w:val="32"/>
      <w:szCs w:val="32"/>
      <w:u w:color="000000"/>
    </w:rPr>
  </w:style>
  <w:style w:type="character" w:styleId="Enlace" w:customStyle="1">
    <w:name w:val="Enlace"/>
    <w:rPr>
      <w:u w:val="single"/>
    </w:rPr>
  </w:style>
  <w:style w:type="character" w:styleId="Hyperlink0" w:customStyle="1">
    <w:name w:val="Hyperlink.0"/>
    <w:basedOn w:val="Enlace"/>
    <w:rPr>
      <w:color w:val="3a7ab2"/>
      <w:sz w:val="20"/>
      <w:szCs w:val="20"/>
      <w:u w:color="0000ff" w:val="single"/>
    </w:rPr>
  </w:style>
  <w:style w:type="character" w:styleId="Hyperlink1" w:customStyle="1">
    <w:name w:val="Hyperlink.1"/>
    <w:basedOn w:val="Ninguno"/>
    <w:rPr>
      <w:rFonts w:ascii="Arial" w:cs="Arial" w:eastAsia="Arial" w:hAnsi="Arial"/>
      <w:color w:val="0000ff"/>
      <w:sz w:val="18"/>
      <w:szCs w:val="18"/>
      <w:u w:color="0000ff" w:val="single"/>
      <w:lang w:val="es-ES_tradnl"/>
    </w:rPr>
  </w:style>
  <w:style w:type="paragraph" w:styleId="Textodeglobo">
    <w:name w:val="Balloon Text"/>
    <w:basedOn w:val="Normal"/>
    <w:link w:val="TextodegloboCar"/>
    <w:uiPriority w:val="99"/>
    <w:semiHidden w:val="1"/>
    <w:unhideWhenUsed w:val="1"/>
    <w:rsid w:val="00C506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06F7"/>
    <w:rPr>
      <w:rFonts w:ascii="Segoe UI" w:cs="Segoe UI" w:hAnsi="Segoe UI"/>
      <w:sz w:val="18"/>
      <w:szCs w:val="18"/>
      <w:lang w:eastAsia="en-US" w:val="en-US"/>
    </w:rPr>
  </w:style>
  <w:style w:type="character" w:styleId="SinespaciadoCar" w:customStyle="1">
    <w:name w:val="Sin espaciado Car"/>
    <w:link w:val="Sinespaciado"/>
    <w:uiPriority w:val="1"/>
    <w:locked w:val="1"/>
    <w:rsid w:val="00C506F7"/>
    <w:rPr>
      <w:rFonts w:ascii="Cambria" w:eastAsia="MS Mincho" w:hAnsi="Cambria"/>
      <w:sz w:val="24"/>
      <w:szCs w:val="24"/>
      <w:lang w:val="es-ES_tradnl"/>
    </w:rPr>
  </w:style>
  <w:style w:type="paragraph" w:styleId="Sinespaciado">
    <w:name w:val="No Spacing"/>
    <w:link w:val="SinespaciadoCar"/>
    <w:uiPriority w:val="1"/>
    <w:qFormat w:val="1"/>
    <w:rsid w:val="00C506F7"/>
    <w:rPr>
      <w:rFonts w:ascii="Cambria" w:eastAsia="MS Mincho" w:hAnsi="Cambria"/>
    </w:rPr>
  </w:style>
  <w:style w:type="paragraph" w:styleId="Encabezado">
    <w:name w:val="header"/>
    <w:basedOn w:val="Normal"/>
    <w:link w:val="EncabezadoCar"/>
    <w:uiPriority w:val="99"/>
    <w:unhideWhenUsed w:val="1"/>
    <w:rsid w:val="004843A3"/>
    <w:pPr>
      <w:tabs>
        <w:tab w:val="center" w:pos="4252"/>
        <w:tab w:val="right" w:pos="8504"/>
      </w:tabs>
    </w:pPr>
  </w:style>
  <w:style w:type="character" w:styleId="EncabezadoCar" w:customStyle="1">
    <w:name w:val="Encabezado Car"/>
    <w:basedOn w:val="Fuentedeprrafopredeter"/>
    <w:link w:val="Encabezado"/>
    <w:uiPriority w:val="99"/>
    <w:rsid w:val="004843A3"/>
    <w:rPr>
      <w:sz w:val="24"/>
      <w:szCs w:val="24"/>
      <w:lang w:eastAsia="en-US" w:val="en-US"/>
    </w:rPr>
  </w:style>
  <w:style w:type="paragraph" w:styleId="Piedepgina">
    <w:name w:val="footer"/>
    <w:basedOn w:val="Normal"/>
    <w:link w:val="PiedepginaCar"/>
    <w:uiPriority w:val="99"/>
    <w:unhideWhenUsed w:val="1"/>
    <w:rsid w:val="004843A3"/>
    <w:pPr>
      <w:tabs>
        <w:tab w:val="center" w:pos="4252"/>
        <w:tab w:val="right" w:pos="8504"/>
      </w:tabs>
    </w:pPr>
  </w:style>
  <w:style w:type="character" w:styleId="PiedepginaCar" w:customStyle="1">
    <w:name w:val="Pie de página Car"/>
    <w:basedOn w:val="Fuentedeprrafopredeter"/>
    <w:link w:val="Piedepgina"/>
    <w:uiPriority w:val="99"/>
    <w:rsid w:val="004843A3"/>
    <w:rPr>
      <w:sz w:val="24"/>
      <w:szCs w:val="24"/>
      <w:lang w:eastAsia="en-US" w:val="en-US"/>
    </w:rPr>
  </w:style>
  <w:style w:type="paragraph" w:styleId="Prrafodelista">
    <w:name w:val="List Paragraph"/>
    <w:basedOn w:val="Normal"/>
    <w:uiPriority w:val="34"/>
    <w:qFormat w:val="1"/>
    <w:rsid w:val="004843A3"/>
    <w:pPr>
      <w:ind w:left="720"/>
      <w:contextualSpacing w:val="1"/>
    </w:pPr>
    <w:rPr>
      <w:lang w:eastAsia="es-ES"/>
    </w:rPr>
  </w:style>
  <w:style w:type="paragraph" w:styleId="IJTextonormal" w:customStyle="1">
    <w:name w:val="IJ Texto normal"/>
    <w:basedOn w:val="Normal"/>
    <w:link w:val="IJTextonormalCar"/>
    <w:autoRedefine w:val="1"/>
    <w:qFormat w:val="1"/>
    <w:rsid w:val="006B1E20"/>
    <w:pPr>
      <w:spacing w:line="360" w:lineRule="auto"/>
      <w:jc w:val="both"/>
    </w:pPr>
    <w:rPr>
      <w:rFonts w:ascii="Arial" w:cs="Arial" w:eastAsia="Calibri" w:hAnsi="Arial"/>
      <w:iCs w:val="1"/>
      <w:sz w:val="20"/>
      <w:szCs w:val="20"/>
      <w:shd w:color="auto" w:fill="ffffff" w:val="clear"/>
      <w:lang w:eastAsia="ar-SA" w:val="es-ES_tradnl"/>
    </w:rPr>
  </w:style>
  <w:style w:type="character" w:styleId="IJTextonormalCar" w:customStyle="1">
    <w:name w:val="IJ Texto normal Car"/>
    <w:basedOn w:val="Fuentedeprrafopredeter"/>
    <w:link w:val="IJTextonormal"/>
    <w:rsid w:val="006B1E20"/>
    <w:rPr>
      <w:rFonts w:ascii="Arial" w:cs="Arial" w:eastAsia="Calibri" w:hAnsi="Arial"/>
      <w:iCs w:val="1"/>
      <w:sz w:val="20"/>
      <w:szCs w:val="20"/>
      <w:lang w:eastAsia="ar-SA" w:val="es-ES_tradnl"/>
    </w:rPr>
  </w:style>
  <w:style w:type="character" w:styleId="Refdecomentario">
    <w:name w:val="annotation reference"/>
    <w:basedOn w:val="Fuentedeprrafopredeter"/>
    <w:uiPriority w:val="99"/>
    <w:semiHidden w:val="1"/>
    <w:unhideWhenUsed w:val="1"/>
    <w:rsid w:val="007078D1"/>
    <w:rPr>
      <w:sz w:val="16"/>
      <w:szCs w:val="16"/>
    </w:rPr>
  </w:style>
  <w:style w:type="paragraph" w:styleId="Textocomentario">
    <w:name w:val="annotation text"/>
    <w:basedOn w:val="Normal"/>
    <w:link w:val="TextocomentarioCar"/>
    <w:uiPriority w:val="99"/>
    <w:semiHidden w:val="1"/>
    <w:unhideWhenUsed w:val="1"/>
    <w:rsid w:val="007078D1"/>
    <w:rPr>
      <w:sz w:val="20"/>
      <w:szCs w:val="20"/>
    </w:rPr>
  </w:style>
  <w:style w:type="character" w:styleId="TextocomentarioCar" w:customStyle="1">
    <w:name w:val="Texto comentario Car"/>
    <w:basedOn w:val="Fuentedeprrafopredeter"/>
    <w:link w:val="Textocomentario"/>
    <w:uiPriority w:val="99"/>
    <w:semiHidden w:val="1"/>
    <w:rsid w:val="007078D1"/>
    <w:rPr>
      <w:lang w:eastAsia="en-US" w:val="en-US"/>
    </w:rPr>
  </w:style>
  <w:style w:type="paragraph" w:styleId="Asuntodelcomentario">
    <w:name w:val="annotation subject"/>
    <w:basedOn w:val="Textocomentario"/>
    <w:next w:val="Textocomentario"/>
    <w:link w:val="AsuntodelcomentarioCar"/>
    <w:uiPriority w:val="99"/>
    <w:semiHidden w:val="1"/>
    <w:unhideWhenUsed w:val="1"/>
    <w:rsid w:val="007078D1"/>
    <w:rPr>
      <w:b w:val="1"/>
      <w:bCs w:val="1"/>
    </w:rPr>
  </w:style>
  <w:style w:type="character" w:styleId="AsuntodelcomentarioCar" w:customStyle="1">
    <w:name w:val="Asunto del comentario Car"/>
    <w:basedOn w:val="TextocomentarioCar"/>
    <w:link w:val="Asuntodelcomentario"/>
    <w:uiPriority w:val="99"/>
    <w:semiHidden w:val="1"/>
    <w:rsid w:val="007078D1"/>
    <w:rPr>
      <w:b w:val="1"/>
      <w:bCs w:val="1"/>
      <w:lang w:eastAsia="en-US" w:val="en-US"/>
    </w:rPr>
  </w:style>
  <w:style w:type="paragraph" w:styleId="NormalWeb">
    <w:name w:val="Normal (Web)"/>
    <w:basedOn w:val="Normal"/>
    <w:uiPriority w:val="99"/>
    <w:unhideWhenUsed w:val="1"/>
    <w:rsid w:val="00325B68"/>
    <w:pPr>
      <w:spacing w:after="100" w:afterAutospacing="1" w:before="100" w:beforeAutospacing="1"/>
    </w:pPr>
    <w:rPr>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CD6A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3"/>
    <w:tblPr>
      <w:tblStyleRowBandSize w:val="1"/>
      <w:tblStyleColBandSize w:val="1"/>
      <w:tblCellMar>
        <w:left w:w="70.0" w:type="dxa"/>
        <w:right w:w="70.0" w:type="dxa"/>
      </w:tblCellMar>
    </w:tblPr>
  </w:style>
  <w:style w:type="table" w:styleId="a0" w:customStyle="1">
    <w:basedOn w:val="TableNormal2"/>
    <w:tblPr>
      <w:tblStyleRowBandSize w:val="1"/>
      <w:tblStyleColBandSize w:val="1"/>
      <w:tblCellMar>
        <w:left w:w="70.0" w:type="dxa"/>
        <w:right w:w="70.0" w:type="dxa"/>
      </w:tblCellMar>
    </w:tblPr>
  </w:style>
  <w:style w:type="character" w:styleId="Refdenotaalpie">
    <w:name w:val="footnote reference"/>
    <w:uiPriority w:val="99"/>
    <w:semiHidden w:val="1"/>
    <w:rsid w:val="003007DD"/>
    <w:rPr>
      <w:rFonts w:cs="Times New Roman"/>
      <w:vertAlign w:val="superscript"/>
    </w:rPr>
  </w:style>
  <w:style w:type="table" w:styleId="a1" w:customStyle="1">
    <w:basedOn w:val="TableNormal1"/>
    <w:tblPr>
      <w:tblStyleRowBandSize w:val="1"/>
      <w:tblStyleColBandSize w:val="1"/>
      <w:tblCellMar>
        <w:left w:w="70.0" w:type="dxa"/>
        <w:right w:w="70.0" w:type="dxa"/>
      </w:tblCellMar>
    </w:tblPr>
  </w:style>
  <w:style w:type="character" w:styleId="Textoennegrita">
    <w:name w:val="Strong"/>
    <w:basedOn w:val="Fuentedeprrafopredeter"/>
    <w:uiPriority w:val="22"/>
    <w:qFormat w:val="1"/>
    <w:rsid w:val="00A50628"/>
    <w:rPr>
      <w:b w:val="1"/>
      <w:bCs w:val="1"/>
    </w:rPr>
  </w:style>
  <w:style w:type="table" w:styleId="a2" w:customStyle="1">
    <w:basedOn w:val="TableNormal0"/>
    <w:tblPr>
      <w:tblStyleRowBandSize w:val="1"/>
      <w:tblStyleColBandSize w:val="1"/>
      <w:tblCellMar>
        <w:left w:w="70.0" w:type="dxa"/>
        <w:right w:w="70.0" w:type="dxa"/>
      </w:tblCellMar>
    </w:tblPr>
  </w:style>
  <w:style w:type="table" w:styleId="a3"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www.infojobs.net/" TargetMode="External"/><Relationship Id="rId22" Type="http://schemas.openxmlformats.org/officeDocument/2006/relationships/footer" Target="footer2.xml"/><Relationship Id="rId10" Type="http://schemas.openxmlformats.org/officeDocument/2006/relationships/hyperlink" Target="https://www.habitaclia.com/" TargetMode="External"/><Relationship Id="rId21" Type="http://schemas.openxmlformats.org/officeDocument/2006/relationships/footer" Target="footer3.xml"/><Relationship Id="rId13" Type="http://schemas.openxmlformats.org/officeDocument/2006/relationships/hyperlink" Target="https://motos.coches.net/" TargetMode="External"/><Relationship Id="rId12" Type="http://schemas.openxmlformats.org/officeDocument/2006/relationships/hyperlink" Target="https://www.coches.net/"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otocasa.es/es/" TargetMode="External"/><Relationship Id="rId15" Type="http://schemas.openxmlformats.org/officeDocument/2006/relationships/hyperlink" Target="https://www.adevinta.com/es/spain/" TargetMode="External"/><Relationship Id="rId14" Type="http://schemas.openxmlformats.org/officeDocument/2006/relationships/hyperlink" Target="https://www.milanuncios.com/" TargetMode="External"/><Relationship Id="rId17" Type="http://schemas.openxmlformats.org/officeDocument/2006/relationships/hyperlink" Target="mailto:infojobs@evercom.es" TargetMode="External"/><Relationship Id="rId16" Type="http://schemas.openxmlformats.org/officeDocument/2006/relationships/hyperlink" Target="mailto:prensa@infojobs.net"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infojobs.net/" TargetMode="External"/><Relationship Id="rId8" Type="http://schemas.openxmlformats.org/officeDocument/2006/relationships/hyperlink" Target="https://nosotros.infojobs.net/prensa/indicadores-infojob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ZqRB4vhRpI8mGp1lLry1FoE8dw==">AMUW2mVlsCKUEre87K1wsVMwd9k+8sk8FqugN7DXHaevbvvjFUxxe6m/rMrIsNGxZUEdaFDZah0f9hpmhtrDn5IensNrHkGAywoSv1cVsMceGU6F8aAwSiU=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2020-12-04T09:52:00Z</dcterms:created>
  <dc:creator>Sara Rius</dc:creator>
</cp:coreProperties>
</file>