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8F291A" w14:textId="77777777" w:rsidR="00FD4A09" w:rsidRDefault="007530C6">
      <w:pPr>
        <w:pBdr>
          <w:top w:val="nil"/>
          <w:left w:val="nil"/>
          <w:bottom w:val="nil"/>
          <w:right w:val="nil"/>
          <w:between w:val="nil"/>
        </w:pBdr>
        <w:jc w:val="center"/>
        <w:rPr>
          <w:color w:val="000000"/>
        </w:rPr>
      </w:pPr>
      <w:r>
        <w:rPr>
          <w:rFonts w:ascii="Arial" w:eastAsia="Arial" w:hAnsi="Arial" w:cs="Arial"/>
          <w:color w:val="3A7AB2"/>
          <w:sz w:val="32"/>
          <w:szCs w:val="32"/>
          <w:u w:val="single"/>
        </w:rPr>
        <w:t>Análisis del mercado laboral InfoJobs 2020</w:t>
      </w:r>
    </w:p>
    <w:p w14:paraId="5B28AE53" w14:textId="77777777" w:rsidR="00FD4A09" w:rsidRDefault="00FD4A09"/>
    <w:p w14:paraId="42B484DD" w14:textId="77777777" w:rsidR="00FD4A09" w:rsidRDefault="007530C6">
      <w:pPr>
        <w:pBdr>
          <w:top w:val="nil"/>
          <w:left w:val="nil"/>
          <w:bottom w:val="nil"/>
          <w:right w:val="nil"/>
          <w:between w:val="nil"/>
        </w:pBdr>
        <w:rPr>
          <w:color w:val="000000"/>
        </w:rPr>
      </w:pPr>
      <w:r>
        <w:rPr>
          <w:rFonts w:ascii="Arial" w:eastAsia="Arial" w:hAnsi="Arial" w:cs="Arial"/>
          <w:b/>
          <w:color w:val="0070C0"/>
          <w:sz w:val="35"/>
          <w:szCs w:val="35"/>
        </w:rPr>
        <w:t>España encara el cierre del año con un 28% menos</w:t>
      </w:r>
      <w:r>
        <w:rPr>
          <w:rFonts w:ascii="Arial" w:eastAsia="Arial" w:hAnsi="Arial" w:cs="Arial"/>
          <w:b/>
          <w:color w:val="FF0000"/>
          <w:sz w:val="35"/>
          <w:szCs w:val="35"/>
        </w:rPr>
        <w:t xml:space="preserve"> </w:t>
      </w:r>
      <w:r>
        <w:rPr>
          <w:rFonts w:ascii="Arial" w:eastAsia="Arial" w:hAnsi="Arial" w:cs="Arial"/>
          <w:b/>
          <w:color w:val="0070C0"/>
          <w:sz w:val="35"/>
          <w:szCs w:val="35"/>
        </w:rPr>
        <w:t>de ofertas de empleo que en 2019</w:t>
      </w:r>
    </w:p>
    <w:p w14:paraId="2259DC8B" w14:textId="77777777" w:rsidR="00FD4A09" w:rsidRDefault="00FD4A09"/>
    <w:p w14:paraId="6C6E7432" w14:textId="77777777" w:rsidR="00FD4A09" w:rsidRDefault="007530C6">
      <w:pPr>
        <w:numPr>
          <w:ilvl w:val="0"/>
          <w:numId w:val="1"/>
        </w:num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Los datos de ofertas en España en noviembre (-23%) se sitúan en niveles de marzo, cuando el empleo empezó a verse afectado por la pandemia.</w:t>
      </w:r>
    </w:p>
    <w:p w14:paraId="646C88BD" w14:textId="77777777" w:rsidR="00FD4A09" w:rsidRDefault="007530C6">
      <w:pPr>
        <w:numPr>
          <w:ilvl w:val="0"/>
          <w:numId w:val="1"/>
        </w:numPr>
        <w:pBdr>
          <w:top w:val="nil"/>
          <w:left w:val="nil"/>
          <w:bottom w:val="nil"/>
          <w:right w:val="nil"/>
          <w:between w:val="nil"/>
        </w:pBdr>
        <w:jc w:val="both"/>
        <w:rPr>
          <w:rFonts w:ascii="Arial" w:eastAsia="Arial" w:hAnsi="Arial" w:cs="Arial"/>
          <w:color w:val="0070C0"/>
          <w:sz w:val="20"/>
          <w:szCs w:val="20"/>
        </w:rPr>
      </w:pPr>
      <w:r>
        <w:rPr>
          <w:rFonts w:ascii="Arial" w:eastAsia="Arial" w:hAnsi="Arial" w:cs="Arial"/>
          <w:color w:val="0070C0"/>
          <w:sz w:val="20"/>
          <w:szCs w:val="20"/>
        </w:rPr>
        <w:t>Alemania y Francia (-15%), los principales países de la Unión Europea que mejores datos registran en comparación con</w:t>
      </w:r>
      <w:r>
        <w:rPr>
          <w:rFonts w:ascii="Arial" w:eastAsia="Arial" w:hAnsi="Arial" w:cs="Arial"/>
          <w:color w:val="0070C0"/>
          <w:sz w:val="20"/>
          <w:szCs w:val="20"/>
        </w:rPr>
        <w:t xml:space="preserve"> el ejercicio anterior. </w:t>
      </w:r>
    </w:p>
    <w:p w14:paraId="32C6AE20" w14:textId="77777777" w:rsidR="00FD4A09" w:rsidRDefault="00FD4A09">
      <w:pPr>
        <w:spacing w:after="240"/>
      </w:pPr>
    </w:p>
    <w:p w14:paraId="0B12D7F2" w14:textId="77777777" w:rsidR="00FD4A09" w:rsidRDefault="007530C6">
      <w:pPr>
        <w:pBdr>
          <w:top w:val="nil"/>
          <w:left w:val="nil"/>
          <w:bottom w:val="nil"/>
          <w:right w:val="nil"/>
          <w:between w:val="nil"/>
        </w:pBdr>
        <w:jc w:val="both"/>
        <w:rPr>
          <w:color w:val="000000"/>
        </w:rPr>
      </w:pPr>
      <w:r>
        <w:rPr>
          <w:rFonts w:ascii="Arial" w:eastAsia="Arial" w:hAnsi="Arial" w:cs="Arial"/>
          <w:b/>
          <w:color w:val="000000"/>
          <w:sz w:val="20"/>
          <w:szCs w:val="20"/>
        </w:rPr>
        <w:t>Madrid, 22 de diciembre de 2020</w:t>
      </w:r>
      <w:r>
        <w:rPr>
          <w:color w:val="000000"/>
        </w:rPr>
        <w:t>.-</w:t>
      </w:r>
      <w:r>
        <w:rPr>
          <w:rFonts w:ascii="Arial" w:eastAsia="Arial" w:hAnsi="Arial" w:cs="Arial"/>
          <w:color w:val="000000"/>
          <w:sz w:val="20"/>
          <w:szCs w:val="20"/>
        </w:rPr>
        <w:t xml:space="preserve"> Nueve meses después de la llegada de la Covid-19, los datos de empleo de los principales países de la Unión Europea señalan una caída del 23% respecto al 2019, En el último semestre, el final del confinamiento y la reducción de las grandes restricciones i</w:t>
      </w:r>
      <w:r>
        <w:rPr>
          <w:rFonts w:ascii="Arial" w:eastAsia="Arial" w:hAnsi="Arial" w:cs="Arial"/>
          <w:color w:val="000000"/>
          <w:sz w:val="20"/>
          <w:szCs w:val="20"/>
        </w:rPr>
        <w:t>mpuestas por los distintos Gobiernos ha contribuido a aliviar la situación en comparación con la primera mitad del año, cuando el total de ofertas en la Unión Europea registró un -26%. </w:t>
      </w:r>
    </w:p>
    <w:p w14:paraId="6CF31BFA" w14:textId="77777777" w:rsidR="00FD4A09" w:rsidRDefault="00FD4A09"/>
    <w:p w14:paraId="45854772"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Los últimos datos registrados el pasado mes de noviembre indican tamb</w:t>
      </w:r>
      <w:r>
        <w:rPr>
          <w:rFonts w:ascii="Arial" w:eastAsia="Arial" w:hAnsi="Arial" w:cs="Arial"/>
          <w:color w:val="000000"/>
          <w:sz w:val="20"/>
          <w:szCs w:val="20"/>
        </w:rPr>
        <w:t>ién una significativa recuperación, aunque siguen muy por debajo del +1,6% cosechado a finales del mes de enero entre los principales países de la UE (Reino Unido, Alemania, Italia, Francia, Portugal, España y Países Bajos). </w:t>
      </w:r>
    </w:p>
    <w:p w14:paraId="2512C38C" w14:textId="77777777" w:rsidR="00FD4A09" w:rsidRDefault="00FD4A09"/>
    <w:p w14:paraId="5BE4913F" w14:textId="77777777" w:rsidR="00FD4A09" w:rsidRDefault="007530C6">
      <w:pPr>
        <w:pBdr>
          <w:top w:val="nil"/>
          <w:left w:val="nil"/>
          <w:bottom w:val="nil"/>
          <w:right w:val="nil"/>
          <w:between w:val="nil"/>
        </w:pBdr>
        <w:jc w:val="both"/>
        <w:rPr>
          <w:color w:val="000000"/>
        </w:rPr>
      </w:pPr>
      <w:r>
        <w:rPr>
          <w:rFonts w:ascii="Arial" w:eastAsia="Arial" w:hAnsi="Arial" w:cs="Arial"/>
          <w:color w:val="3A7AB2"/>
          <w:sz w:val="28"/>
          <w:szCs w:val="28"/>
        </w:rPr>
        <w:t>España, solo por delante de R</w:t>
      </w:r>
      <w:r>
        <w:rPr>
          <w:rFonts w:ascii="Arial" w:eastAsia="Arial" w:hAnsi="Arial" w:cs="Arial"/>
          <w:color w:val="3A7AB2"/>
          <w:sz w:val="28"/>
          <w:szCs w:val="28"/>
        </w:rPr>
        <w:t>eino Unido</w:t>
      </w:r>
    </w:p>
    <w:p w14:paraId="6AA51159" w14:textId="77777777" w:rsidR="00FD4A09" w:rsidRDefault="00FD4A09"/>
    <w:p w14:paraId="59978003" w14:textId="77777777" w:rsidR="00FD4A09" w:rsidRDefault="007530C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 día de hoy, las ofertas de trabajo en nuestro país registran una caída de más de 400.000 </w:t>
      </w:r>
      <w:r>
        <w:rPr>
          <w:rFonts w:ascii="Arial" w:eastAsia="Arial" w:hAnsi="Arial" w:cs="Arial"/>
          <w:sz w:val="20"/>
          <w:szCs w:val="20"/>
        </w:rPr>
        <w:t>ofertas</w:t>
      </w:r>
      <w:r>
        <w:rPr>
          <w:rFonts w:ascii="Arial" w:eastAsia="Arial" w:hAnsi="Arial" w:cs="Arial"/>
          <w:color w:val="000000"/>
          <w:sz w:val="20"/>
          <w:szCs w:val="20"/>
        </w:rPr>
        <w:t xml:space="preserve"> en relación con el acumulado del año pasado, y los datos de noviembre se sitúan en niveles de comienzos de la pandemia</w:t>
      </w:r>
      <w:r>
        <w:rPr>
          <w:rFonts w:ascii="Arial" w:eastAsia="Arial" w:hAnsi="Arial" w:cs="Arial"/>
          <w:sz w:val="20"/>
          <w:szCs w:val="20"/>
        </w:rPr>
        <w:t xml:space="preserve">; en marzo el mercado laboral cayó un 25%, pero la fase más crítica se produjo en el mes de abril, </w:t>
      </w:r>
      <w:r>
        <w:rPr>
          <w:rFonts w:ascii="Arial" w:eastAsia="Arial" w:hAnsi="Arial" w:cs="Arial"/>
          <w:color w:val="000000"/>
          <w:sz w:val="20"/>
          <w:szCs w:val="20"/>
        </w:rPr>
        <w:t>c</w:t>
      </w:r>
      <w:r>
        <w:rPr>
          <w:rFonts w:ascii="Arial" w:eastAsia="Arial" w:hAnsi="Arial" w:cs="Arial"/>
          <w:sz w:val="20"/>
          <w:szCs w:val="20"/>
        </w:rPr>
        <w:t>uando la incidencia del coronavirus p</w:t>
      </w:r>
      <w:r>
        <w:rPr>
          <w:rFonts w:ascii="Arial" w:eastAsia="Arial" w:hAnsi="Arial" w:cs="Arial"/>
          <w:sz w:val="20"/>
          <w:szCs w:val="20"/>
        </w:rPr>
        <w:t xml:space="preserve">rovocó una caída de hasta el 60% de de las ofertas en nuestro país en comparación con el mismo periodo del año anterior. </w:t>
      </w:r>
    </w:p>
    <w:p w14:paraId="2416D686" w14:textId="77777777" w:rsidR="00FD4A09" w:rsidRDefault="00FD4A09">
      <w:pPr>
        <w:pBdr>
          <w:top w:val="nil"/>
          <w:left w:val="nil"/>
          <w:bottom w:val="nil"/>
          <w:right w:val="nil"/>
          <w:between w:val="nil"/>
        </w:pBdr>
        <w:jc w:val="both"/>
        <w:rPr>
          <w:rFonts w:ascii="Arial" w:eastAsia="Arial" w:hAnsi="Arial" w:cs="Arial"/>
          <w:sz w:val="20"/>
          <w:szCs w:val="20"/>
        </w:rPr>
      </w:pPr>
    </w:p>
    <w:p w14:paraId="1B308795" w14:textId="77777777" w:rsidR="00FD4A09" w:rsidRDefault="007530C6">
      <w:pPr>
        <w:pBdr>
          <w:top w:val="nil"/>
          <w:left w:val="nil"/>
          <w:bottom w:val="nil"/>
          <w:right w:val="nil"/>
          <w:between w:val="nil"/>
        </w:pBdr>
        <w:jc w:val="both"/>
        <w:rPr>
          <w:color w:val="000000"/>
        </w:rPr>
      </w:pPr>
      <w:r>
        <w:rPr>
          <w:rFonts w:ascii="Arial" w:eastAsia="Arial" w:hAnsi="Arial" w:cs="Arial"/>
          <w:sz w:val="20"/>
          <w:szCs w:val="20"/>
        </w:rPr>
        <w:t>Desde entonces, la curva de empleo fue poco a poco estabilizándose, alcanzando en septiembre (-21%) e</w:t>
      </w:r>
      <w:r>
        <w:rPr>
          <w:rFonts w:ascii="Arial" w:eastAsia="Arial" w:hAnsi="Arial" w:cs="Arial"/>
          <w:color w:val="000000"/>
          <w:sz w:val="20"/>
          <w:szCs w:val="20"/>
        </w:rPr>
        <w:t>l mejor dato en lo que va de añ</w:t>
      </w:r>
      <w:r>
        <w:rPr>
          <w:rFonts w:ascii="Arial" w:eastAsia="Arial" w:hAnsi="Arial" w:cs="Arial"/>
          <w:sz w:val="20"/>
          <w:szCs w:val="20"/>
        </w:rPr>
        <w:t>o</w:t>
      </w:r>
      <w:r>
        <w:rPr>
          <w:rFonts w:ascii="Arial" w:eastAsia="Arial" w:hAnsi="Arial" w:cs="Arial"/>
          <w:sz w:val="20"/>
          <w:szCs w:val="20"/>
        </w:rPr>
        <w:t xml:space="preserve"> con </w:t>
      </w:r>
      <w:r>
        <w:rPr>
          <w:rFonts w:ascii="Arial" w:eastAsia="Arial" w:hAnsi="Arial" w:cs="Arial"/>
          <w:color w:val="000000"/>
          <w:sz w:val="20"/>
          <w:szCs w:val="20"/>
        </w:rPr>
        <w:t xml:space="preserve">respecto a septiembre de 2019. </w:t>
      </w:r>
      <w:r>
        <w:rPr>
          <w:rFonts w:ascii="Arial" w:eastAsia="Arial" w:hAnsi="Arial" w:cs="Arial"/>
          <w:sz w:val="20"/>
          <w:szCs w:val="20"/>
        </w:rPr>
        <w:t>Posteriormente</w:t>
      </w:r>
      <w:r>
        <w:rPr>
          <w:rFonts w:ascii="Arial" w:eastAsia="Arial" w:hAnsi="Arial" w:cs="Arial"/>
          <w:color w:val="000000"/>
          <w:sz w:val="20"/>
          <w:szCs w:val="20"/>
        </w:rPr>
        <w:t xml:space="preserve">, las </w:t>
      </w:r>
      <w:r>
        <w:rPr>
          <w:rFonts w:ascii="Arial" w:eastAsia="Arial" w:hAnsi="Arial" w:cs="Arial"/>
          <w:sz w:val="20"/>
          <w:szCs w:val="20"/>
        </w:rPr>
        <w:t xml:space="preserve">sucesivas </w:t>
      </w:r>
      <w:r>
        <w:rPr>
          <w:rFonts w:ascii="Arial" w:eastAsia="Arial" w:hAnsi="Arial" w:cs="Arial"/>
          <w:color w:val="000000"/>
          <w:sz w:val="20"/>
          <w:szCs w:val="20"/>
        </w:rPr>
        <w:t xml:space="preserve">restricciones impuestas a restauración y comercios, principalmente, </w:t>
      </w:r>
      <w:r>
        <w:rPr>
          <w:rFonts w:ascii="Arial" w:eastAsia="Arial" w:hAnsi="Arial" w:cs="Arial"/>
          <w:sz w:val="20"/>
          <w:szCs w:val="20"/>
        </w:rPr>
        <w:t>volvieron a</w:t>
      </w:r>
      <w:r>
        <w:rPr>
          <w:rFonts w:ascii="Arial" w:eastAsia="Arial" w:hAnsi="Arial" w:cs="Arial"/>
          <w:color w:val="000000"/>
          <w:sz w:val="20"/>
          <w:szCs w:val="20"/>
        </w:rPr>
        <w:t xml:space="preserve"> perjudicar al mercado nacional del empleo (-29% en octubre). Ahora, </w:t>
      </w:r>
      <w:r>
        <w:rPr>
          <w:rFonts w:ascii="Arial" w:eastAsia="Arial" w:hAnsi="Arial" w:cs="Arial"/>
          <w:sz w:val="20"/>
          <w:szCs w:val="20"/>
        </w:rPr>
        <w:t>a</w:t>
      </w:r>
      <w:r>
        <w:rPr>
          <w:rFonts w:ascii="Arial" w:eastAsia="Arial" w:hAnsi="Arial" w:cs="Arial"/>
          <w:color w:val="000000"/>
          <w:sz w:val="20"/>
          <w:szCs w:val="20"/>
        </w:rPr>
        <w:t xml:space="preserve"> falta de pocos días para Navidad, la inc</w:t>
      </w:r>
      <w:r>
        <w:rPr>
          <w:rFonts w:ascii="Arial" w:eastAsia="Arial" w:hAnsi="Arial" w:cs="Arial"/>
          <w:color w:val="000000"/>
          <w:sz w:val="20"/>
          <w:szCs w:val="20"/>
        </w:rPr>
        <w:t>ertidumbre sobre la evolución de la pandemia en nuestro país ofrece dudas en relación a la mejora de los mismos en los próximos meses.</w:t>
      </w:r>
    </w:p>
    <w:p w14:paraId="2FCE1BBF" w14:textId="77777777" w:rsidR="00FD4A09" w:rsidRDefault="00FD4A09"/>
    <w:p w14:paraId="110B4635"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Los datos de cierre de noviembre sitúan a España tan solo por encima de Reino Unido, que recoge una bajada del 36% en el</w:t>
      </w:r>
      <w:r>
        <w:rPr>
          <w:rFonts w:ascii="Arial" w:eastAsia="Arial" w:hAnsi="Arial" w:cs="Arial"/>
          <w:color w:val="000000"/>
          <w:sz w:val="20"/>
          <w:szCs w:val="20"/>
        </w:rPr>
        <w:t xml:space="preserve"> acumulado del 2020. </w:t>
      </w:r>
    </w:p>
    <w:p w14:paraId="78910E3B" w14:textId="77777777" w:rsidR="00FD4A09" w:rsidRDefault="00FD4A09"/>
    <w:p w14:paraId="6FDBE95D"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El país británico es uno de los territorios más azotados por la crisis del coronavirus. De hecho, la confirmación de una nueva cepa de coronavirus ha obligado hace apenas unos días al ministro de salud, Matt Hancock, a anunciar el pa</w:t>
      </w:r>
      <w:r>
        <w:rPr>
          <w:rFonts w:ascii="Arial" w:eastAsia="Arial" w:hAnsi="Arial" w:cs="Arial"/>
          <w:color w:val="000000"/>
          <w:sz w:val="20"/>
          <w:szCs w:val="20"/>
        </w:rPr>
        <w:t>so al nivel 3 de alerta, tanto en Londres como en otras zonas del este de Inglaterra, con el consiguiente cierre de bares y restaurantes y el veto a las reuniones.  A esta situación se suma la crisis del Brexit que arrastra el país desde hace tiempo, y que</w:t>
      </w:r>
      <w:r>
        <w:rPr>
          <w:rFonts w:ascii="Arial" w:eastAsia="Arial" w:hAnsi="Arial" w:cs="Arial"/>
          <w:color w:val="000000"/>
          <w:sz w:val="20"/>
          <w:szCs w:val="20"/>
        </w:rPr>
        <w:t xml:space="preserve"> ha motivado a más de 30 territorios de la Unión Europea a cortar las conexiones con la isla. Un hecho que también repercute de manera directa sobre la estabilidad </w:t>
      </w:r>
      <w:r>
        <w:rPr>
          <w:rFonts w:ascii="Arial" w:eastAsia="Arial" w:hAnsi="Arial" w:cs="Arial"/>
          <w:sz w:val="20"/>
          <w:szCs w:val="20"/>
        </w:rPr>
        <w:t>laboral</w:t>
      </w:r>
      <w:r>
        <w:rPr>
          <w:rFonts w:ascii="Arial" w:eastAsia="Arial" w:hAnsi="Arial" w:cs="Arial"/>
          <w:color w:val="000000"/>
          <w:sz w:val="20"/>
          <w:szCs w:val="20"/>
        </w:rPr>
        <w:t xml:space="preserve"> del país.</w:t>
      </w:r>
    </w:p>
    <w:p w14:paraId="62947F68" w14:textId="77777777" w:rsidR="00FD4A09" w:rsidRDefault="007530C6">
      <w:pPr>
        <w:spacing w:line="276" w:lineRule="auto"/>
      </w:pPr>
      <w:r>
        <w:rPr>
          <w:noProof/>
        </w:rPr>
        <w:lastRenderedPageBreak/>
        <w:drawing>
          <wp:inline distT="0" distB="0" distL="0" distR="0" wp14:anchorId="66C558F4" wp14:editId="3BF2737D">
            <wp:extent cx="5940425" cy="2898775"/>
            <wp:effectExtent l="0" t="0" r="0"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mc:AlternateContent>
          <mc:Choice Requires="wps">
            <w:drawing>
              <wp:anchor distT="0" distB="0" distL="114300" distR="114300" simplePos="0" relativeHeight="251658240" behindDoc="0" locked="0" layoutInCell="1" hidden="0" allowOverlap="1" wp14:anchorId="5F455CFF" wp14:editId="030D93A2">
                <wp:simplePos x="0" y="0"/>
                <wp:positionH relativeFrom="column">
                  <wp:posOffset>571500</wp:posOffset>
                </wp:positionH>
                <wp:positionV relativeFrom="paragraph">
                  <wp:posOffset>2247900</wp:posOffset>
                </wp:positionV>
                <wp:extent cx="5688330" cy="469900"/>
                <wp:effectExtent l="0" t="0" r="0" b="0"/>
                <wp:wrapNone/>
                <wp:docPr id="40" name=""/>
                <wp:cNvGraphicFramePr/>
                <a:graphic xmlns:a="http://schemas.openxmlformats.org/drawingml/2006/main">
                  <a:graphicData uri="http://schemas.microsoft.com/office/word/2010/wordprocessingShape">
                    <wps:wsp>
                      <wps:cNvSpPr/>
                      <wps:spPr>
                        <a:xfrm>
                          <a:off x="2506598" y="3549813"/>
                          <a:ext cx="5678805" cy="460375"/>
                        </a:xfrm>
                        <a:prstGeom prst="rect">
                          <a:avLst/>
                        </a:prstGeom>
                        <a:noFill/>
                        <a:ln>
                          <a:noFill/>
                        </a:ln>
                      </wps:spPr>
                      <wps:txbx>
                        <w:txbxContent>
                          <w:p w14:paraId="521F48E8" w14:textId="77777777" w:rsidR="00FD4A09" w:rsidRDefault="007530C6">
                            <w:pPr>
                              <w:spacing w:after="160" w:line="255" w:lineRule="auto"/>
                              <w:textDirection w:val="btLr"/>
                            </w:pPr>
                            <w:r w:rsidRPr="007530C6">
                              <w:rPr>
                                <w:rFonts w:ascii="Calibri" w:eastAsia="Calibri" w:hAnsi="Calibri" w:cs="Calibri"/>
                                <w:b/>
                                <w:color w:val="000000"/>
                                <w:sz w:val="18"/>
                                <w:lang w:val="en-US"/>
                              </w:rPr>
                              <w:t xml:space="preserve">Ene.        Feb.           Mar.            Abr.             May.      </w:t>
                            </w:r>
                            <w:r w:rsidRPr="007530C6">
                              <w:rPr>
                                <w:rFonts w:ascii="Calibri" w:eastAsia="Calibri" w:hAnsi="Calibri" w:cs="Calibri"/>
                                <w:b/>
                                <w:color w:val="000000"/>
                                <w:sz w:val="18"/>
                                <w:lang w:val="en-US"/>
                              </w:rPr>
                              <w:t xml:space="preserve"> </w:t>
                            </w:r>
                            <w:r>
                              <w:rPr>
                                <w:rFonts w:ascii="Calibri" w:eastAsia="Calibri" w:hAnsi="Calibri" w:cs="Calibri"/>
                                <w:b/>
                                <w:color w:val="000000"/>
                                <w:sz w:val="18"/>
                              </w:rPr>
                              <w:t>Jun.           Jul.         Ago.          Sep.            Oct.            Nov.</w:t>
                            </w:r>
                          </w:p>
                        </w:txbxContent>
                      </wps:txbx>
                      <wps:bodyPr spcFirstLastPara="1" wrap="square" lIns="91425" tIns="45700" rIns="91425" bIns="45700" anchor="t" anchorCtr="0">
                        <a:noAutofit/>
                      </wps:bodyPr>
                    </wps:wsp>
                  </a:graphicData>
                </a:graphic>
              </wp:anchor>
            </w:drawing>
          </mc:Choice>
          <mc:Fallback>
            <w:pict>
              <v:rect w14:anchorId="5F455CFF" id="_x0000_s1026" style="position:absolute;margin-left:45pt;margin-top:177pt;width:447.9pt;height:3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NzAEAAHYDAAAOAAAAZHJzL2Uyb0RvYy54bWysU8tu2zAQvBfIPxC815JsyQ/BdFA0cFEg&#10;aA0k/QCaIi0C4qMkbcl/3yWlJE56K3qhuA8MZ2ZX2/tBdejCnZdGE1zMcoy4ZqaR+kTwr+f95zVG&#10;PlDd0M5oTvCVe3y/u/u07W3N56Y1XcMdAhDt694S3IZg6yzzrOWK+pmxXENRGKdogNCdssbRHtBV&#10;l83zfJn1xjXWGca9h+zDWMS7hC8EZ+GnEJ4H1BEM3EI6XTqP8cx2W1qfHLWtZBMN+g8sFJUaHn2F&#10;eqCBorOTf0EpyZzxRoQZMyozQkjGkwZQU+Qf1Dy11PKkBczx9tUm//9g2Y/LwSHZEFyCPZoqmFE0&#10;pbe+htqTPbgp8nCNCgfhVPwCdzQQPK/yZbWBKV8JXlTlZl0sRlP5EBCDhmq5Wq/zCiMGHeUyX6yq&#10;2JC9IVnnwzduFIoXgh0MLXlJL48+jK0vLfFhbfay6yBP606/SwBmzGSR/Eg33sJwHCYNR9NcQa63&#10;bC/hrUfqw4E6GHiBUQ9LQLD/faaOY9R91+DypijnwDykoKxWOXjkbivH2wrVrDWwWwGj8fo1pE0b&#10;OX45ByNk0hNZjVQmsjDc5Mi0iHF7buPU9fa77P4AAAD//wMAUEsDBBQABgAIAAAAIQDxs7Qp3QAA&#10;AAoBAAAPAAAAZHJzL2Rvd25yZXYueG1sTI/BTsMwDIbvSLxDZCRuLNlop640nRCCA0e6HThmjWkr&#10;Eqdq0q17e8wJbrb86/f3VfvFO3HGKQ6BNKxXCgRSG+xAnYbj4e2hABGTIWtcINRwxQj7+vamMqUN&#10;F/rAc5M6wSUUS6OhT2kspYxtj97EVRiR+PYVJm8Sr1Mn7WQuXO6d3Ci1ld4MxB96M+JLj+13M3sN&#10;Izo7u6xRn618nWi9fT/Ia671/d3y/AQi4ZL+wvCLz+hQM9MpzGSjcBp2ilWShsc844EDuyJnl5OG&#10;bFMokHUl/yvUPwAAAP//AwBQSwECLQAUAAYACAAAACEAtoM4kv4AAADhAQAAEwAAAAAAAAAAAAAA&#10;AAAAAAAAW0NvbnRlbnRfVHlwZXNdLnhtbFBLAQItABQABgAIAAAAIQA4/SH/1gAAAJQBAAALAAAA&#10;AAAAAAAAAAAAAC8BAABfcmVscy8ucmVsc1BLAQItABQABgAIAAAAIQAd/SYNzAEAAHYDAAAOAAAA&#10;AAAAAAAAAAAAAC4CAABkcnMvZTJvRG9jLnhtbFBLAQItABQABgAIAAAAIQDxs7Qp3QAAAAoBAAAP&#10;AAAAAAAAAAAAAAAAACYEAABkcnMvZG93bnJldi54bWxQSwUGAAAAAAQABADzAAAAMAUAAAAA&#10;" filled="f" stroked="f">
                <v:textbox inset="2.53958mm,1.2694mm,2.53958mm,1.2694mm">
                  <w:txbxContent>
                    <w:p w14:paraId="521F48E8" w14:textId="77777777" w:rsidR="00FD4A09" w:rsidRDefault="007530C6">
                      <w:pPr>
                        <w:spacing w:after="160" w:line="255" w:lineRule="auto"/>
                        <w:textDirection w:val="btLr"/>
                      </w:pPr>
                      <w:r w:rsidRPr="007530C6">
                        <w:rPr>
                          <w:rFonts w:ascii="Calibri" w:eastAsia="Calibri" w:hAnsi="Calibri" w:cs="Calibri"/>
                          <w:b/>
                          <w:color w:val="000000"/>
                          <w:sz w:val="18"/>
                          <w:lang w:val="en-US"/>
                        </w:rPr>
                        <w:t xml:space="preserve">Ene.        Feb.           Mar.            Abr.             May.      </w:t>
                      </w:r>
                      <w:r w:rsidRPr="007530C6">
                        <w:rPr>
                          <w:rFonts w:ascii="Calibri" w:eastAsia="Calibri" w:hAnsi="Calibri" w:cs="Calibri"/>
                          <w:b/>
                          <w:color w:val="000000"/>
                          <w:sz w:val="18"/>
                          <w:lang w:val="en-US"/>
                        </w:rPr>
                        <w:t xml:space="preserve"> </w:t>
                      </w:r>
                      <w:r>
                        <w:rPr>
                          <w:rFonts w:ascii="Calibri" w:eastAsia="Calibri" w:hAnsi="Calibri" w:cs="Calibri"/>
                          <w:b/>
                          <w:color w:val="000000"/>
                          <w:sz w:val="18"/>
                        </w:rPr>
                        <w:t>Jun.           Jul.         Ago.          Sep.            Oct.            Nov.</w:t>
                      </w:r>
                    </w:p>
                  </w:txbxContent>
                </v:textbox>
              </v:rect>
            </w:pict>
          </mc:Fallback>
        </mc:AlternateContent>
      </w:r>
    </w:p>
    <w:p w14:paraId="75E8A4E6" w14:textId="77777777" w:rsidR="00FD4A09" w:rsidRDefault="007530C6">
      <w:pPr>
        <w:spacing w:line="276" w:lineRule="auto"/>
        <w:rPr>
          <w:rFonts w:ascii="Arial" w:eastAsia="Arial" w:hAnsi="Arial" w:cs="Arial"/>
          <w:b/>
          <w:color w:val="FF0000"/>
          <w:sz w:val="16"/>
          <w:szCs w:val="16"/>
          <w:highlight w:val="yellow"/>
        </w:rPr>
      </w:pPr>
      <w:r>
        <w:rPr>
          <w:rFonts w:ascii="Arial" w:eastAsia="Arial" w:hAnsi="Arial" w:cs="Arial"/>
          <w:b/>
          <w:color w:val="0070C0"/>
          <w:sz w:val="16"/>
          <w:szCs w:val="16"/>
        </w:rPr>
        <w:t>FUENTE: JOB MARKET INSIGHTS*</w:t>
      </w:r>
    </w:p>
    <w:p w14:paraId="790B0FE0" w14:textId="77777777" w:rsidR="00FD4A09" w:rsidRDefault="00FD4A09">
      <w:pPr>
        <w:pBdr>
          <w:top w:val="nil"/>
          <w:left w:val="nil"/>
          <w:bottom w:val="nil"/>
          <w:right w:val="nil"/>
          <w:between w:val="nil"/>
        </w:pBdr>
        <w:spacing w:line="288" w:lineRule="auto"/>
        <w:rPr>
          <w:rFonts w:ascii="Arial" w:eastAsia="Arial" w:hAnsi="Arial" w:cs="Arial"/>
          <w:color w:val="3A7AB2"/>
          <w:sz w:val="28"/>
          <w:szCs w:val="28"/>
        </w:rPr>
      </w:pPr>
    </w:p>
    <w:p w14:paraId="386CFC30" w14:textId="77777777" w:rsidR="00FD4A09" w:rsidRDefault="007530C6">
      <w:pPr>
        <w:pBdr>
          <w:top w:val="nil"/>
          <w:left w:val="nil"/>
          <w:bottom w:val="nil"/>
          <w:right w:val="nil"/>
          <w:between w:val="nil"/>
        </w:pBdr>
        <w:rPr>
          <w:rFonts w:ascii="Arial" w:eastAsia="Arial" w:hAnsi="Arial" w:cs="Arial"/>
          <w:color w:val="3A7AB2"/>
          <w:sz w:val="28"/>
          <w:szCs w:val="28"/>
        </w:rPr>
      </w:pPr>
      <w:r>
        <w:rPr>
          <w:rFonts w:ascii="Arial" w:eastAsia="Arial" w:hAnsi="Arial" w:cs="Arial"/>
          <w:color w:val="3A7AB2"/>
          <w:sz w:val="28"/>
          <w:szCs w:val="28"/>
        </w:rPr>
        <w:t>Alemania y Francia, a la cabeza de la Unión Europea</w:t>
      </w:r>
    </w:p>
    <w:p w14:paraId="481381FF" w14:textId="77777777" w:rsidR="00FD4A09" w:rsidRDefault="00FD4A09">
      <w:pPr>
        <w:pBdr>
          <w:top w:val="nil"/>
          <w:left w:val="nil"/>
          <w:bottom w:val="nil"/>
          <w:right w:val="nil"/>
          <w:between w:val="nil"/>
        </w:pBdr>
        <w:rPr>
          <w:rFonts w:ascii="Arial" w:eastAsia="Arial" w:hAnsi="Arial" w:cs="Arial"/>
          <w:color w:val="3A7AB2"/>
          <w:sz w:val="28"/>
          <w:szCs w:val="28"/>
        </w:rPr>
      </w:pPr>
    </w:p>
    <w:p w14:paraId="2F6EF532" w14:textId="77777777" w:rsidR="00FD4A09" w:rsidRDefault="007530C6">
      <w:pPr>
        <w:pBdr>
          <w:top w:val="nil"/>
          <w:left w:val="nil"/>
          <w:bottom w:val="nil"/>
          <w:right w:val="nil"/>
          <w:between w:val="nil"/>
        </w:pBdr>
        <w:spacing w:after="240"/>
        <w:jc w:val="both"/>
        <w:rPr>
          <w:color w:val="000000"/>
        </w:rPr>
      </w:pPr>
      <w:r>
        <w:rPr>
          <w:rFonts w:ascii="Arial" w:eastAsia="Arial" w:hAnsi="Arial" w:cs="Arial"/>
          <w:color w:val="000000"/>
          <w:sz w:val="20"/>
          <w:szCs w:val="20"/>
        </w:rPr>
        <w:t>Alemania y Francia son los principales países de la Unión Europea que ahora mismo registran mejores datos en comparación con el ejercicio anterior.</w:t>
      </w:r>
    </w:p>
    <w:p w14:paraId="4EC145AC" w14:textId="77777777" w:rsidR="00FD4A09" w:rsidRDefault="007530C6">
      <w:pPr>
        <w:pBdr>
          <w:top w:val="nil"/>
          <w:left w:val="nil"/>
          <w:bottom w:val="nil"/>
          <w:right w:val="nil"/>
          <w:between w:val="nil"/>
        </w:pBdr>
        <w:spacing w:before="240" w:after="240"/>
        <w:jc w:val="both"/>
        <w:rPr>
          <w:color w:val="000000"/>
        </w:rPr>
      </w:pPr>
      <w:r>
        <w:rPr>
          <w:rFonts w:ascii="Arial" w:eastAsia="Arial" w:hAnsi="Arial" w:cs="Arial"/>
          <w:color w:val="000000"/>
          <w:sz w:val="20"/>
          <w:szCs w:val="20"/>
        </w:rPr>
        <w:t>Así, el país germánico reúne un 15% de ofertas menos que respecto al 2019. En los últimos días, sin embargo,</w:t>
      </w:r>
      <w:r>
        <w:rPr>
          <w:rFonts w:ascii="Arial" w:eastAsia="Arial" w:hAnsi="Arial" w:cs="Arial"/>
          <w:color w:val="000000"/>
          <w:sz w:val="20"/>
          <w:szCs w:val="20"/>
        </w:rPr>
        <w:t xml:space="preserve"> ha visto cómo las muertes por coronavirus se disparaban, alcanzando la cifra de cerca de 1.000 fallecidos en solo 24 horas y viéndose obligado a cerrar tiendas, colegios, bares, cultura, etc. Por lo tanto, es previsible que, a corto plazo, estos datos emp</w:t>
      </w:r>
      <w:r>
        <w:rPr>
          <w:rFonts w:ascii="Arial" w:eastAsia="Arial" w:hAnsi="Arial" w:cs="Arial"/>
          <w:color w:val="000000"/>
          <w:sz w:val="20"/>
          <w:szCs w:val="20"/>
        </w:rPr>
        <w:t>eoren.</w:t>
      </w:r>
    </w:p>
    <w:p w14:paraId="679AAE66"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Por su parte, los datos que registra Francia a estas alturas del año son muy semejantes a los de su vecino europeo, con un 15% menos de ofertas en relación al acumulado del año pasado. El pasado 15 de diciembre, el gobierno de Emmanuel Macron decretó la re</w:t>
      </w:r>
      <w:r>
        <w:rPr>
          <w:rFonts w:ascii="Arial" w:eastAsia="Arial" w:hAnsi="Arial" w:cs="Arial"/>
          <w:color w:val="000000"/>
          <w:sz w:val="20"/>
          <w:szCs w:val="20"/>
        </w:rPr>
        <w:t>apertura de museos, teatros, cines y otros espacios de ocio, confirmando una ligera recuperación. En cualquier caso, bares, cafés y restaurantes permanecerán cerrados hasta el próximo 20 de enero, al igual que los gimnasios.</w:t>
      </w:r>
    </w:p>
    <w:p w14:paraId="342173DE" w14:textId="77777777" w:rsidR="00FD4A09" w:rsidRDefault="00FD4A09"/>
    <w:p w14:paraId="0266EC4F" w14:textId="77777777" w:rsidR="00FD4A09" w:rsidRDefault="007530C6">
      <w:pPr>
        <w:pBdr>
          <w:top w:val="nil"/>
          <w:left w:val="nil"/>
          <w:bottom w:val="nil"/>
          <w:right w:val="nil"/>
          <w:between w:val="nil"/>
        </w:pBdr>
        <w:jc w:val="both"/>
        <w:rPr>
          <w:color w:val="000000"/>
        </w:rPr>
      </w:pPr>
      <w:r>
        <w:rPr>
          <w:rFonts w:ascii="Arial" w:eastAsia="Arial" w:hAnsi="Arial" w:cs="Arial"/>
          <w:color w:val="3A7AB2"/>
          <w:sz w:val="28"/>
          <w:szCs w:val="28"/>
        </w:rPr>
        <w:t>Portugal, Países Bajos e Itali</w:t>
      </w:r>
      <w:r>
        <w:rPr>
          <w:rFonts w:ascii="Arial" w:eastAsia="Arial" w:hAnsi="Arial" w:cs="Arial"/>
          <w:color w:val="3A7AB2"/>
          <w:sz w:val="28"/>
          <w:szCs w:val="28"/>
        </w:rPr>
        <w:t>a, mejor que España</w:t>
      </w:r>
    </w:p>
    <w:p w14:paraId="41845250" w14:textId="77777777" w:rsidR="00FD4A09" w:rsidRDefault="00FD4A09"/>
    <w:p w14:paraId="0C56A913" w14:textId="77777777" w:rsidR="00FD4A09" w:rsidRDefault="007530C6">
      <w:pPr>
        <w:pBdr>
          <w:top w:val="nil"/>
          <w:left w:val="nil"/>
          <w:bottom w:val="nil"/>
          <w:right w:val="nil"/>
          <w:between w:val="nil"/>
        </w:pBdr>
        <w:jc w:val="both"/>
        <w:rPr>
          <w:rFonts w:ascii="Arial" w:eastAsia="Arial" w:hAnsi="Arial" w:cs="Arial"/>
          <w:sz w:val="20"/>
          <w:szCs w:val="20"/>
        </w:rPr>
      </w:pPr>
      <w:r>
        <w:rPr>
          <w:rFonts w:ascii="Arial" w:eastAsia="Arial" w:hAnsi="Arial" w:cs="Arial"/>
          <w:color w:val="000000"/>
          <w:sz w:val="20"/>
          <w:szCs w:val="20"/>
        </w:rPr>
        <w:t>Por detrás de Alemania y Francia se sitúa Portugal, con una caída del 18% en ofertas de empleo respecto al año pasado.</w:t>
      </w:r>
      <w:r>
        <w:rPr>
          <w:rFonts w:ascii="Arial" w:eastAsia="Arial" w:hAnsi="Arial" w:cs="Arial"/>
          <w:sz w:val="20"/>
          <w:szCs w:val="20"/>
        </w:rPr>
        <w:t xml:space="preserve"> El Gobierno de António Costa ha endurecido recientemente las medidas para luchar contra el coronavirus en Navidad, y</w:t>
      </w:r>
      <w:r>
        <w:rPr>
          <w:rFonts w:ascii="Arial" w:eastAsia="Arial" w:hAnsi="Arial" w:cs="Arial"/>
          <w:sz w:val="20"/>
          <w:szCs w:val="20"/>
        </w:rPr>
        <w:t xml:space="preserve"> ha prorrogado el estado de emergencia hasta el próximo 7 de enero de 2021.</w:t>
      </w:r>
    </w:p>
    <w:p w14:paraId="73A0F87E" w14:textId="77777777" w:rsidR="00FD4A09" w:rsidRDefault="00FD4A09">
      <w:pPr>
        <w:pBdr>
          <w:top w:val="nil"/>
          <w:left w:val="nil"/>
          <w:bottom w:val="nil"/>
          <w:right w:val="nil"/>
          <w:between w:val="nil"/>
        </w:pBdr>
        <w:jc w:val="both"/>
        <w:rPr>
          <w:rFonts w:ascii="Arial" w:eastAsia="Arial" w:hAnsi="Arial" w:cs="Arial"/>
          <w:sz w:val="20"/>
          <w:szCs w:val="20"/>
        </w:rPr>
      </w:pPr>
    </w:p>
    <w:p w14:paraId="0169FBA1"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Detrás de Portugal aparecen finalmente Países Bajos (-22%) e Italia (-24%). </w:t>
      </w:r>
    </w:p>
    <w:p w14:paraId="59E6FAB8" w14:textId="77777777" w:rsidR="00FD4A09" w:rsidRDefault="00FD4A09"/>
    <w:p w14:paraId="0D2D5DA2"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El primero es uno de los estados más afectados por la pandemia en Europa según datos del Centro Europ</w:t>
      </w:r>
      <w:r>
        <w:rPr>
          <w:rFonts w:ascii="Arial" w:eastAsia="Arial" w:hAnsi="Arial" w:cs="Arial"/>
          <w:color w:val="000000"/>
          <w:sz w:val="20"/>
          <w:szCs w:val="20"/>
        </w:rPr>
        <w:t>eo para la Prevención y el Control de las Enfermedades (ECDC). Durante los primeros meses de pandemia, el territorio implantó un “confinamiento inteligente”, que apelaba a la responsabilidad individual a la hora de relacionarse, mientras las tiendas podían</w:t>
      </w:r>
      <w:r>
        <w:rPr>
          <w:rFonts w:ascii="Arial" w:eastAsia="Arial" w:hAnsi="Arial" w:cs="Arial"/>
          <w:color w:val="000000"/>
          <w:sz w:val="20"/>
          <w:szCs w:val="20"/>
        </w:rPr>
        <w:t xml:space="preserve"> seguir abiertas.  El gobierno del país ha decidido también en la última semana imponer restricciones a la movilidad ahora que los casos de contagios rozan los 10.000 diarios, y ha clausurado los comercios hasta el 19 de enero.</w:t>
      </w:r>
      <w:r>
        <w:rPr>
          <w:color w:val="000000"/>
        </w:rPr>
        <w:t> </w:t>
      </w:r>
    </w:p>
    <w:p w14:paraId="206DC74D" w14:textId="77777777" w:rsidR="00FD4A09" w:rsidRDefault="00FD4A09"/>
    <w:p w14:paraId="2E839856"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Cabe destacar, sin embargo</w:t>
      </w:r>
      <w:r>
        <w:rPr>
          <w:rFonts w:ascii="Arial" w:eastAsia="Arial" w:hAnsi="Arial" w:cs="Arial"/>
          <w:color w:val="000000"/>
          <w:sz w:val="20"/>
          <w:szCs w:val="20"/>
        </w:rPr>
        <w:t>, que Pa</w:t>
      </w:r>
      <w:r>
        <w:rPr>
          <w:rFonts w:ascii="Arial" w:eastAsia="Arial" w:hAnsi="Arial" w:cs="Arial"/>
          <w:sz w:val="20"/>
          <w:szCs w:val="20"/>
        </w:rPr>
        <w:t xml:space="preserve">íses Bajos </w:t>
      </w:r>
      <w:r>
        <w:rPr>
          <w:rFonts w:ascii="Arial" w:eastAsia="Arial" w:hAnsi="Arial" w:cs="Arial"/>
          <w:color w:val="000000"/>
          <w:sz w:val="20"/>
          <w:szCs w:val="20"/>
        </w:rPr>
        <w:t xml:space="preserve">ha sido el único de los principales territorios de la Unión Europea que ha registrado porcentajes positivos a lo largo del año en lo que se refiere a vacantes de empleo. Así, con motivo de la campaña de verano -concretamente durante los </w:t>
      </w:r>
      <w:r>
        <w:rPr>
          <w:rFonts w:ascii="Arial" w:eastAsia="Arial" w:hAnsi="Arial" w:cs="Arial"/>
          <w:color w:val="000000"/>
          <w:sz w:val="20"/>
          <w:szCs w:val="20"/>
        </w:rPr>
        <w:t>meses de agosto y septiembre-, el país reunió, respectivamente, un 10% y un 11% más de vacantes en relación con el mismo periodo del año anterior.</w:t>
      </w:r>
    </w:p>
    <w:p w14:paraId="0977DA09" w14:textId="77777777" w:rsidR="00FD4A09" w:rsidRDefault="00FD4A09"/>
    <w:p w14:paraId="55F446FD" w14:textId="77777777" w:rsidR="00FD4A09" w:rsidRDefault="007530C6">
      <w:pPr>
        <w:pBdr>
          <w:top w:val="nil"/>
          <w:left w:val="nil"/>
          <w:bottom w:val="nil"/>
          <w:right w:val="nil"/>
          <w:between w:val="nil"/>
        </w:pBdr>
        <w:jc w:val="both"/>
        <w:rPr>
          <w:color w:val="000000"/>
        </w:rPr>
      </w:pPr>
      <w:r>
        <w:rPr>
          <w:rFonts w:ascii="Arial" w:eastAsia="Arial" w:hAnsi="Arial" w:cs="Arial"/>
          <w:color w:val="000000"/>
          <w:sz w:val="20"/>
          <w:szCs w:val="20"/>
        </w:rPr>
        <w:t>En lo que respecta a Italia, es desde la semana pasada el país europeo con más fallecidos por coronavirus, c</w:t>
      </w:r>
      <w:r>
        <w:rPr>
          <w:rFonts w:ascii="Arial" w:eastAsia="Arial" w:hAnsi="Arial" w:cs="Arial"/>
          <w:color w:val="000000"/>
          <w:sz w:val="20"/>
          <w:szCs w:val="20"/>
        </w:rPr>
        <w:t>on un total de 64.520 muertes, lo cual no augura una mejora de los resultados en el próximo mes. Las autoridades italianas han puesto en marcha restricciones para la época navideña, prohibiendo el movimiento entre regiones entre el 21 de diciembre y el 6 d</w:t>
      </w:r>
      <w:r>
        <w:rPr>
          <w:rFonts w:ascii="Arial" w:eastAsia="Arial" w:hAnsi="Arial" w:cs="Arial"/>
          <w:color w:val="000000"/>
          <w:sz w:val="20"/>
          <w:szCs w:val="20"/>
        </w:rPr>
        <w:t>e enero.</w:t>
      </w:r>
    </w:p>
    <w:p w14:paraId="175428D6" w14:textId="77777777" w:rsidR="00FD4A09" w:rsidRDefault="00FD4A09">
      <w:pPr>
        <w:spacing w:line="276" w:lineRule="auto"/>
        <w:jc w:val="both"/>
        <w:rPr>
          <w:rFonts w:ascii="Arial" w:eastAsia="Arial" w:hAnsi="Arial" w:cs="Arial"/>
          <w:sz w:val="20"/>
          <w:szCs w:val="20"/>
        </w:rPr>
      </w:pPr>
    </w:p>
    <w:p w14:paraId="12AF53D1" w14:textId="77777777" w:rsidR="00FD4A09" w:rsidRDefault="00FD4A09">
      <w:pPr>
        <w:pBdr>
          <w:top w:val="nil"/>
          <w:left w:val="nil"/>
          <w:bottom w:val="nil"/>
          <w:right w:val="nil"/>
          <w:between w:val="nil"/>
        </w:pBdr>
        <w:shd w:val="clear" w:color="auto" w:fill="FFFFFF"/>
        <w:rPr>
          <w:rFonts w:ascii="Calibri" w:eastAsia="Calibri" w:hAnsi="Calibri" w:cs="Calibri"/>
          <w:color w:val="000000"/>
          <w:sz w:val="8"/>
          <w:szCs w:val="8"/>
          <w:highlight w:val="yellow"/>
          <w:u w:val="single"/>
        </w:rPr>
      </w:pPr>
    </w:p>
    <w:p w14:paraId="6B2F23A2" w14:textId="77777777" w:rsidR="00FD4A09" w:rsidRDefault="007530C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16"/>
          <w:szCs w:val="16"/>
        </w:rPr>
      </w:pPr>
      <w:r>
        <w:rPr>
          <w:rFonts w:ascii="Arial" w:eastAsia="Arial" w:hAnsi="Arial" w:cs="Arial"/>
          <w:sz w:val="16"/>
          <w:szCs w:val="16"/>
        </w:rPr>
        <w:t xml:space="preserve">*Fuente: </w:t>
      </w:r>
      <w:r>
        <w:rPr>
          <w:rFonts w:ascii="Arial" w:eastAsia="Arial" w:hAnsi="Arial" w:cs="Arial"/>
          <w:color w:val="000000"/>
          <w:sz w:val="16"/>
          <w:szCs w:val="16"/>
        </w:rPr>
        <w:t>Job Market Insights</w:t>
      </w:r>
      <w:r>
        <w:rPr>
          <w:rFonts w:ascii="Arial" w:eastAsia="Arial" w:hAnsi="Arial" w:cs="Arial"/>
          <w:sz w:val="16"/>
          <w:szCs w:val="16"/>
        </w:rPr>
        <w:t>,</w:t>
      </w:r>
      <w:r>
        <w:rPr>
          <w:rFonts w:ascii="Arial" w:eastAsia="Arial" w:hAnsi="Arial" w:cs="Arial"/>
          <w:color w:val="000000"/>
          <w:sz w:val="16"/>
          <w:szCs w:val="16"/>
        </w:rPr>
        <w:t xml:space="preserve"> herramienta de inteligencia de mercado que ofrece una visión 360º del mercado laboral internacional. </w:t>
      </w:r>
      <w:r>
        <w:rPr>
          <w:rFonts w:ascii="Arial" w:eastAsia="Arial" w:hAnsi="Arial" w:cs="Arial"/>
          <w:sz w:val="16"/>
          <w:szCs w:val="16"/>
        </w:rPr>
        <w:t>A través del uso de BIg Data</w:t>
      </w:r>
      <w:r>
        <w:rPr>
          <w:rFonts w:ascii="Arial" w:eastAsia="Arial" w:hAnsi="Arial" w:cs="Arial"/>
          <w:color w:val="000000"/>
          <w:sz w:val="16"/>
          <w:szCs w:val="16"/>
        </w:rPr>
        <w:t xml:space="preserve"> permite comparar de forma eficaz datos del mercado, analizar las tendencias del mismo y obtener información sobre el comportamiento de sus principales </w:t>
      </w:r>
      <w:r>
        <w:rPr>
          <w:rFonts w:ascii="Arial" w:eastAsia="Arial" w:hAnsi="Arial" w:cs="Arial"/>
          <w:sz w:val="16"/>
          <w:szCs w:val="16"/>
        </w:rPr>
        <w:t>actores</w:t>
      </w:r>
      <w:r>
        <w:rPr>
          <w:rFonts w:ascii="Arial" w:eastAsia="Arial" w:hAnsi="Arial" w:cs="Arial"/>
          <w:color w:val="000000"/>
          <w:sz w:val="16"/>
          <w:szCs w:val="16"/>
        </w:rPr>
        <w:t xml:space="preserve"> </w:t>
      </w:r>
      <w:r>
        <w:rPr>
          <w:rFonts w:ascii="Arial" w:eastAsia="Arial" w:hAnsi="Arial" w:cs="Arial"/>
          <w:sz w:val="16"/>
          <w:szCs w:val="16"/>
        </w:rPr>
        <w:t>para brindar una visión precisa y completa del mercado laboral.</w:t>
      </w:r>
    </w:p>
    <w:p w14:paraId="0A76EC39" w14:textId="77777777" w:rsidR="00FD4A09" w:rsidRDefault="00FD4A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16"/>
          <w:szCs w:val="16"/>
        </w:rPr>
      </w:pPr>
    </w:p>
    <w:p w14:paraId="0F510F9E" w14:textId="77777777" w:rsidR="00FD4A09" w:rsidRDefault="007530C6">
      <w:pPr>
        <w:spacing w:line="360" w:lineRule="auto"/>
        <w:jc w:val="both"/>
        <w:rPr>
          <w:rFonts w:ascii="Arial" w:eastAsia="Arial" w:hAnsi="Arial" w:cs="Arial"/>
          <w:color w:val="808080"/>
          <w:sz w:val="16"/>
          <w:szCs w:val="16"/>
          <w:u w:val="single"/>
        </w:rPr>
      </w:pPr>
      <w:r>
        <w:rPr>
          <w:rFonts w:ascii="Arial" w:eastAsia="Arial" w:hAnsi="Arial" w:cs="Arial"/>
          <w:color w:val="808080"/>
          <w:sz w:val="16"/>
          <w:szCs w:val="16"/>
          <w:u w:val="single"/>
        </w:rPr>
        <w:t>Sobre InfoJobs</w:t>
      </w:r>
    </w:p>
    <w:p w14:paraId="33D0C9C3" w14:textId="77777777" w:rsidR="00FD4A09" w:rsidRDefault="007530C6">
      <w:pPr>
        <w:pBdr>
          <w:top w:val="nil"/>
          <w:left w:val="nil"/>
          <w:bottom w:val="nil"/>
          <w:right w:val="nil"/>
          <w:between w:val="nil"/>
        </w:pBdr>
        <w:jc w:val="both"/>
        <w:rPr>
          <w:color w:val="000000"/>
        </w:rPr>
      </w:pPr>
      <w:r>
        <w:rPr>
          <w:rFonts w:ascii="Arial" w:eastAsia="Arial" w:hAnsi="Arial" w:cs="Arial"/>
          <w:color w:val="808080"/>
          <w:sz w:val="16"/>
          <w:szCs w:val="16"/>
        </w:rPr>
        <w:t>Plataforma líder</w:t>
      </w:r>
      <w:r>
        <w:rPr>
          <w:rFonts w:ascii="Arial" w:eastAsia="Arial" w:hAnsi="Arial" w:cs="Arial"/>
          <w:color w:val="808080"/>
          <w:sz w:val="16"/>
          <w:szCs w:val="16"/>
        </w:rPr>
        <w:t xml:space="preserve"> en España para encontrar las mejores oportunidades profesionales y el mejor talento. En el último año, InfoJobs ha publicado más de 3,3 millones de posiciones vacantes. Cuenta cada mes con 40 millones de visitas (el 85% proceden de dispositivos móviles) y</w:t>
      </w:r>
      <w:r>
        <w:rPr>
          <w:rFonts w:ascii="Arial" w:eastAsia="Arial" w:hAnsi="Arial" w:cs="Arial"/>
          <w:color w:val="808080"/>
          <w:sz w:val="16"/>
          <w:szCs w:val="16"/>
        </w:rPr>
        <w:t xml:space="preserve"> 6 millones de usuarios activos. (Fuente datos: Adobe Analytics 2019).</w:t>
      </w:r>
    </w:p>
    <w:p w14:paraId="6BD8FB81" w14:textId="77777777" w:rsidR="00FD4A09" w:rsidRDefault="00FD4A09"/>
    <w:p w14:paraId="7E357081" w14:textId="77777777" w:rsidR="00FD4A09" w:rsidRDefault="007530C6">
      <w:pPr>
        <w:pBdr>
          <w:top w:val="nil"/>
          <w:left w:val="nil"/>
          <w:bottom w:val="nil"/>
          <w:right w:val="nil"/>
          <w:between w:val="nil"/>
        </w:pBdr>
        <w:shd w:val="clear" w:color="auto" w:fill="FFFFFF"/>
        <w:jc w:val="both"/>
        <w:rPr>
          <w:color w:val="000000"/>
        </w:rPr>
      </w:pPr>
      <w:r>
        <w:rPr>
          <w:rFonts w:ascii="Arial" w:eastAsia="Arial" w:hAnsi="Arial" w:cs="Arial"/>
          <w:color w:val="808080"/>
          <w:sz w:val="16"/>
          <w:szCs w:val="16"/>
        </w:rPr>
        <w:t>InfoJobs pertenece a Adevinta, una compañía líder en marketplaces digitales y una de las principales empresas del sector tecnológico del país, con más de 18 millones de usuarios al mes en sus plataformas de los sectores inmobiliario (</w:t>
      </w:r>
      <w:hyperlink r:id="rId9">
        <w:r>
          <w:rPr>
            <w:rFonts w:ascii="Arial" w:eastAsia="Arial" w:hAnsi="Arial" w:cs="Arial"/>
            <w:color w:val="808080"/>
            <w:sz w:val="16"/>
            <w:szCs w:val="16"/>
            <w:u w:val="single"/>
          </w:rPr>
          <w:t>Fotocasa</w:t>
        </w:r>
      </w:hyperlink>
      <w:r>
        <w:rPr>
          <w:rFonts w:ascii="Arial" w:eastAsia="Arial" w:hAnsi="Arial" w:cs="Arial"/>
          <w:color w:val="808080"/>
          <w:sz w:val="16"/>
          <w:szCs w:val="16"/>
        </w:rPr>
        <w:t xml:space="preserve"> y </w:t>
      </w:r>
      <w:hyperlink r:id="rId10">
        <w:r>
          <w:rPr>
            <w:rFonts w:ascii="Arial" w:eastAsia="Arial" w:hAnsi="Arial" w:cs="Arial"/>
            <w:color w:val="808080"/>
            <w:sz w:val="16"/>
            <w:szCs w:val="16"/>
            <w:u w:val="single"/>
          </w:rPr>
          <w:t>habitaclia</w:t>
        </w:r>
      </w:hyperlink>
      <w:r>
        <w:rPr>
          <w:rFonts w:ascii="Arial" w:eastAsia="Arial" w:hAnsi="Arial" w:cs="Arial"/>
          <w:color w:val="808080"/>
          <w:sz w:val="16"/>
          <w:szCs w:val="16"/>
        </w:rPr>
        <w:t>), empleo (</w:t>
      </w:r>
      <w:hyperlink r:id="rId11">
        <w:r>
          <w:rPr>
            <w:rFonts w:ascii="Arial" w:eastAsia="Arial" w:hAnsi="Arial" w:cs="Arial"/>
            <w:color w:val="808080"/>
            <w:sz w:val="16"/>
            <w:szCs w:val="16"/>
            <w:u w:val="single"/>
          </w:rPr>
          <w:t>InfoJobs</w:t>
        </w:r>
      </w:hyperlink>
      <w:r>
        <w:rPr>
          <w:rFonts w:ascii="Arial" w:eastAsia="Arial" w:hAnsi="Arial" w:cs="Arial"/>
          <w:color w:val="808080"/>
          <w:sz w:val="16"/>
          <w:szCs w:val="16"/>
        </w:rPr>
        <w:t>), motor (</w:t>
      </w:r>
      <w:hyperlink r:id="rId12">
        <w:r>
          <w:rPr>
            <w:rFonts w:ascii="Arial" w:eastAsia="Arial" w:hAnsi="Arial" w:cs="Arial"/>
            <w:color w:val="808080"/>
            <w:sz w:val="16"/>
            <w:szCs w:val="16"/>
            <w:u w:val="single"/>
          </w:rPr>
          <w:t>coches.net</w:t>
        </w:r>
      </w:hyperlink>
      <w:r>
        <w:rPr>
          <w:rFonts w:ascii="Arial" w:eastAsia="Arial" w:hAnsi="Arial" w:cs="Arial"/>
          <w:color w:val="808080"/>
          <w:sz w:val="16"/>
          <w:szCs w:val="16"/>
        </w:rPr>
        <w:t xml:space="preserve"> y </w:t>
      </w:r>
      <w:hyperlink r:id="rId13">
        <w:r>
          <w:rPr>
            <w:rFonts w:ascii="Arial" w:eastAsia="Arial" w:hAnsi="Arial" w:cs="Arial"/>
            <w:color w:val="808080"/>
            <w:sz w:val="16"/>
            <w:szCs w:val="16"/>
            <w:u w:val="single"/>
          </w:rPr>
          <w:t>motos.net</w:t>
        </w:r>
      </w:hyperlink>
      <w:r>
        <w:rPr>
          <w:rFonts w:ascii="Arial" w:eastAsia="Arial" w:hAnsi="Arial" w:cs="Arial"/>
          <w:color w:val="808080"/>
          <w:sz w:val="16"/>
          <w:szCs w:val="16"/>
        </w:rPr>
        <w:t>) y compraventa de artículos de segunda mano (</w:t>
      </w:r>
      <w:hyperlink r:id="rId14">
        <w:r>
          <w:rPr>
            <w:rFonts w:ascii="Arial" w:eastAsia="Arial" w:hAnsi="Arial" w:cs="Arial"/>
            <w:color w:val="808080"/>
            <w:sz w:val="16"/>
            <w:szCs w:val="16"/>
            <w:u w:val="single"/>
          </w:rPr>
          <w:t>Milanuncios</w:t>
        </w:r>
      </w:hyperlink>
      <w:r>
        <w:rPr>
          <w:rFonts w:ascii="Arial" w:eastAsia="Arial" w:hAnsi="Arial" w:cs="Arial"/>
          <w:color w:val="808080"/>
          <w:sz w:val="16"/>
          <w:szCs w:val="16"/>
        </w:rPr>
        <w:t>).</w:t>
      </w:r>
    </w:p>
    <w:p w14:paraId="632A13C0" w14:textId="77777777" w:rsidR="00FD4A09" w:rsidRDefault="007530C6">
      <w:pPr>
        <w:pBdr>
          <w:top w:val="nil"/>
          <w:left w:val="nil"/>
          <w:bottom w:val="nil"/>
          <w:right w:val="nil"/>
          <w:between w:val="nil"/>
        </w:pBdr>
        <w:shd w:val="clear" w:color="auto" w:fill="FFFFFF"/>
        <w:jc w:val="both"/>
        <w:rPr>
          <w:color w:val="000000"/>
        </w:rPr>
      </w:pPr>
      <w:r>
        <w:rPr>
          <w:color w:val="000000"/>
        </w:rPr>
        <w:t> </w:t>
      </w:r>
    </w:p>
    <w:p w14:paraId="60449593" w14:textId="77777777" w:rsidR="00FD4A09" w:rsidRDefault="007530C6">
      <w:pPr>
        <w:spacing w:line="252" w:lineRule="auto"/>
        <w:rPr>
          <w:rFonts w:ascii="Arial" w:eastAsia="Arial" w:hAnsi="Arial" w:cs="Arial"/>
          <w:color w:val="808080"/>
          <w:sz w:val="16"/>
          <w:szCs w:val="16"/>
        </w:rPr>
      </w:pPr>
      <w:r>
        <w:rPr>
          <w:rFonts w:ascii="Arial" w:eastAsia="Arial" w:hAnsi="Arial" w:cs="Arial"/>
          <w:color w:val="808080"/>
          <w:sz w:val="16"/>
          <w:szCs w:val="16"/>
        </w:rPr>
        <w:t>Adevinta en España, antes Schibsted Spain, cuenta con una plantilla de 1.100 empleados. Además de en España, Adevinta tiene presencia en 12 países más de Europa y América Latina. El conjunto de sus plataformas locales recibe un promedio de 1.500 millones d</w:t>
      </w:r>
      <w:r>
        <w:rPr>
          <w:rFonts w:ascii="Arial" w:eastAsia="Arial" w:hAnsi="Arial" w:cs="Arial"/>
          <w:color w:val="808080"/>
          <w:sz w:val="16"/>
          <w:szCs w:val="16"/>
        </w:rPr>
        <w:t xml:space="preserve">e visitas cada mes. Más información en </w:t>
      </w:r>
      <w:hyperlink r:id="rId15">
        <w:r>
          <w:rPr>
            <w:rFonts w:ascii="Arial" w:eastAsia="Arial" w:hAnsi="Arial" w:cs="Arial"/>
            <w:color w:val="808080"/>
            <w:sz w:val="16"/>
            <w:szCs w:val="16"/>
            <w:u w:val="single"/>
          </w:rPr>
          <w:t>adevinta.es</w:t>
        </w:r>
      </w:hyperlink>
      <w:r>
        <w:rPr>
          <w:rFonts w:ascii="Arial" w:eastAsia="Arial" w:hAnsi="Arial" w:cs="Arial"/>
          <w:color w:val="808080"/>
          <w:sz w:val="16"/>
          <w:szCs w:val="16"/>
        </w:rPr>
        <w:t>.</w:t>
      </w:r>
    </w:p>
    <w:p w14:paraId="422B06AA" w14:textId="77777777" w:rsidR="00FD4A09" w:rsidRDefault="007530C6">
      <w:pPr>
        <w:spacing w:line="252" w:lineRule="auto"/>
        <w:rPr>
          <w:rFonts w:ascii="Arial" w:eastAsia="Arial" w:hAnsi="Arial" w:cs="Arial"/>
          <w:sz w:val="20"/>
          <w:szCs w:val="20"/>
        </w:rPr>
      </w:pPr>
      <w:r>
        <w:rPr>
          <w:rFonts w:ascii="Arial" w:eastAsia="Arial" w:hAnsi="Arial" w:cs="Arial"/>
          <w:sz w:val="16"/>
          <w:szCs w:val="16"/>
        </w:rPr>
        <w:t xml:space="preserve">    </w:t>
      </w:r>
    </w:p>
    <w:p w14:paraId="07AB6E92" w14:textId="77777777" w:rsidR="00FD4A09" w:rsidRDefault="007530C6">
      <w:pPr>
        <w:spacing w:line="360" w:lineRule="auto"/>
        <w:jc w:val="both"/>
        <w:rPr>
          <w:rFonts w:ascii="Arial" w:eastAsia="Arial" w:hAnsi="Arial" w:cs="Arial"/>
          <w:b/>
          <w:color w:val="7F7F7F"/>
          <w:sz w:val="18"/>
          <w:szCs w:val="18"/>
        </w:rPr>
      </w:pPr>
      <w:r>
        <w:rPr>
          <w:rFonts w:ascii="Arial" w:eastAsia="Arial" w:hAnsi="Arial" w:cs="Arial"/>
          <w:b/>
          <w:color w:val="7F7F7F"/>
          <w:sz w:val="18"/>
          <w:szCs w:val="18"/>
        </w:rPr>
        <w:t>Contacto</w:t>
      </w:r>
      <w:r>
        <w:rPr>
          <w:rFonts w:ascii="Arial" w:eastAsia="Arial" w:hAnsi="Arial" w:cs="Arial"/>
          <w:color w:val="7F7F7F"/>
          <w:sz w:val="18"/>
          <w:szCs w:val="18"/>
        </w:rPr>
        <w:t>:</w:t>
      </w:r>
    </w:p>
    <w:p w14:paraId="56BD7D1A" w14:textId="74E4A0FF" w:rsidR="00FD4A09" w:rsidRDefault="007530C6">
      <w:pPr>
        <w:pBdr>
          <w:top w:val="nil"/>
          <w:left w:val="nil"/>
          <w:bottom w:val="nil"/>
          <w:right w:val="nil"/>
          <w:between w:val="nil"/>
        </w:pBdr>
        <w:jc w:val="both"/>
        <w:rPr>
          <w:rFonts w:ascii="Arial" w:eastAsia="Arial" w:hAnsi="Arial" w:cs="Arial"/>
          <w:strike/>
          <w:color w:val="FF0000"/>
          <w:sz w:val="18"/>
          <w:szCs w:val="18"/>
        </w:rPr>
      </w:pPr>
      <w:r>
        <w:rPr>
          <w:rFonts w:ascii="Arial" w:eastAsia="Arial" w:hAnsi="Arial" w:cs="Arial"/>
          <w:b/>
          <w:color w:val="7F7F7F"/>
          <w:sz w:val="18"/>
          <w:szCs w:val="18"/>
        </w:rPr>
        <w:t>InfoJobs</w:t>
      </w:r>
      <w:r>
        <w:rPr>
          <w:rFonts w:ascii="Arial" w:eastAsia="Arial" w:hAnsi="Arial" w:cs="Arial"/>
          <w:color w:val="7F7F7F"/>
          <w:sz w:val="18"/>
          <w:szCs w:val="18"/>
        </w:rPr>
        <w:t>: Mónica Pérez Callejo</w:t>
      </w:r>
      <w:r>
        <w:rPr>
          <w:rFonts w:ascii="Arial" w:eastAsia="Arial" w:hAnsi="Arial" w:cs="Arial"/>
          <w:color w:val="7F7F7F"/>
          <w:sz w:val="18"/>
          <w:szCs w:val="18"/>
        </w:rPr>
        <w:tab/>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color w:val="808080"/>
          <w:sz w:val="18"/>
          <w:szCs w:val="18"/>
        </w:rPr>
        <w:tab/>
        <w:t xml:space="preserve"> </w:t>
      </w:r>
      <w:r>
        <w:rPr>
          <w:rFonts w:ascii="Arial" w:eastAsia="Arial" w:hAnsi="Arial" w:cs="Arial"/>
          <w:b/>
          <w:color w:val="7F7F7F"/>
          <w:sz w:val="18"/>
          <w:szCs w:val="18"/>
        </w:rPr>
        <w:t>Evercom</w:t>
      </w:r>
      <w:r>
        <w:rPr>
          <w:rFonts w:ascii="Arial" w:eastAsia="Arial" w:hAnsi="Arial" w:cs="Arial"/>
          <w:color w:val="7F7F7F"/>
          <w:sz w:val="18"/>
          <w:szCs w:val="18"/>
        </w:rPr>
        <w:t>: Albert Cuesta</w:t>
      </w:r>
      <w:r>
        <w:rPr>
          <w:rFonts w:ascii="Arial" w:eastAsia="Arial" w:hAnsi="Arial" w:cs="Arial"/>
          <w:color w:val="7F7F7F"/>
          <w:sz w:val="18"/>
          <w:szCs w:val="18"/>
        </w:rPr>
        <w:t xml:space="preserve"> / Pablo Gutiérrez</w:t>
      </w:r>
    </w:p>
    <w:p w14:paraId="3E7532C6" w14:textId="77777777" w:rsidR="00FD4A09" w:rsidRDefault="007530C6">
      <w:pPr>
        <w:jc w:val="both"/>
        <w:rPr>
          <w:rFonts w:ascii="Arial" w:eastAsia="Arial" w:hAnsi="Arial" w:cs="Arial"/>
          <w:color w:val="7F7F7F"/>
          <w:sz w:val="18"/>
          <w:szCs w:val="18"/>
        </w:rPr>
      </w:pPr>
      <w:hyperlink r:id="rId16">
        <w:r>
          <w:rPr>
            <w:rFonts w:ascii="Arial" w:eastAsia="Arial" w:hAnsi="Arial" w:cs="Arial"/>
            <w:b/>
            <w:color w:val="0070C0"/>
            <w:sz w:val="18"/>
            <w:szCs w:val="18"/>
          </w:rPr>
          <w:t>prensa@infojobs.net</w:t>
        </w:r>
      </w:hyperlink>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r>
      <w:r>
        <w:rPr>
          <w:rFonts w:ascii="Arial" w:eastAsia="Arial" w:hAnsi="Arial" w:cs="Arial"/>
          <w:color w:val="4F81BD"/>
          <w:sz w:val="18"/>
          <w:szCs w:val="18"/>
        </w:rPr>
        <w:tab/>
        <w:t xml:space="preserve"> </w:t>
      </w:r>
      <w:r>
        <w:rPr>
          <w:rFonts w:ascii="Arial" w:eastAsia="Arial" w:hAnsi="Arial" w:cs="Arial"/>
          <w:color w:val="4F81BD"/>
          <w:sz w:val="18"/>
          <w:szCs w:val="18"/>
        </w:rPr>
        <w:tab/>
        <w:t xml:space="preserve"> </w:t>
      </w:r>
      <w:hyperlink r:id="rId17">
        <w:r>
          <w:rPr>
            <w:rFonts w:ascii="Arial" w:eastAsia="Arial" w:hAnsi="Arial" w:cs="Arial"/>
            <w:b/>
            <w:color w:val="0070C0"/>
            <w:sz w:val="18"/>
            <w:szCs w:val="18"/>
          </w:rPr>
          <w:t>infojobs@evercom.es</w:t>
        </w:r>
      </w:hyperlink>
      <w:r>
        <w:rPr>
          <w:rFonts w:ascii="Arial" w:eastAsia="Arial" w:hAnsi="Arial" w:cs="Arial"/>
          <w:color w:val="0070C0"/>
          <w:sz w:val="18"/>
          <w:szCs w:val="18"/>
        </w:rPr>
        <w:t xml:space="preserve">  </w:t>
      </w:r>
    </w:p>
    <w:p w14:paraId="3129B816" w14:textId="77777777" w:rsidR="00FD4A09" w:rsidRDefault="007530C6">
      <w:p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808080"/>
          <w:sz w:val="16"/>
          <w:szCs w:val="16"/>
        </w:rPr>
      </w:pPr>
      <w:r>
        <w:t xml:space="preserve">     </w:t>
      </w:r>
      <w:r>
        <w:rPr>
          <w:rFonts w:ascii="Arial" w:eastAsia="Arial" w:hAnsi="Arial" w:cs="Arial"/>
          <w:color w:val="808080"/>
          <w:sz w:val="16"/>
          <w:szCs w:val="16"/>
        </w:rPr>
        <w:t>   </w:t>
      </w:r>
      <w:r>
        <w:rPr>
          <w:rFonts w:ascii="Arial" w:eastAsia="Arial" w:hAnsi="Arial" w:cs="Arial"/>
          <w:color w:val="808080"/>
          <w:sz w:val="16"/>
          <w:szCs w:val="16"/>
        </w:rPr>
        <w:tab/>
        <w:t xml:space="preserve">                    </w:t>
      </w:r>
      <w:r>
        <w:rPr>
          <w:rFonts w:ascii="Arial" w:eastAsia="Arial" w:hAnsi="Arial" w:cs="Arial"/>
          <w:color w:val="808080"/>
          <w:sz w:val="16"/>
          <w:szCs w:val="16"/>
        </w:rPr>
        <w:tab/>
      </w:r>
      <w:r>
        <w:rPr>
          <w:rFonts w:ascii="Arial" w:eastAsia="Arial" w:hAnsi="Arial" w:cs="Arial"/>
          <w:color w:val="808080"/>
          <w:sz w:val="16"/>
          <w:szCs w:val="16"/>
        </w:rPr>
        <w:tab/>
      </w:r>
      <w:r>
        <w:rPr>
          <w:rFonts w:ascii="Arial" w:eastAsia="Arial" w:hAnsi="Arial" w:cs="Arial"/>
          <w:color w:val="808080"/>
          <w:sz w:val="16"/>
          <w:szCs w:val="16"/>
        </w:rPr>
        <w:tab/>
        <w:t xml:space="preserve"> </w:t>
      </w:r>
      <w:r>
        <w:rPr>
          <w:rFonts w:ascii="Arial" w:eastAsia="Arial" w:hAnsi="Arial" w:cs="Arial"/>
          <w:color w:val="808080"/>
          <w:sz w:val="16"/>
          <w:szCs w:val="16"/>
        </w:rPr>
        <w:tab/>
        <w:t xml:space="preserve">                 T. </w:t>
      </w:r>
      <w:r>
        <w:rPr>
          <w:rFonts w:ascii="Arial" w:eastAsia="Arial" w:hAnsi="Arial" w:cs="Arial"/>
          <w:color w:val="7F7F7F"/>
          <w:sz w:val="18"/>
          <w:szCs w:val="18"/>
        </w:rPr>
        <w:t>34 93 415 37 05 - 676 86 98 56</w:t>
      </w:r>
    </w:p>
    <w:p w14:paraId="2887FBE3" w14:textId="77777777" w:rsidR="00FD4A09" w:rsidRDefault="00FD4A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14:paraId="03D6E96B" w14:textId="77777777" w:rsidR="00FD4A09" w:rsidRDefault="00FD4A09">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sectPr w:rsidR="00FD4A09">
      <w:headerReference w:type="default" r:id="rId18"/>
      <w:pgSz w:w="11906" w:h="16838"/>
      <w:pgMar w:top="1134" w:right="1133" w:bottom="1134" w:left="1418"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8879" w14:textId="77777777" w:rsidR="00000000" w:rsidRDefault="007530C6">
      <w:r>
        <w:separator/>
      </w:r>
    </w:p>
  </w:endnote>
  <w:endnote w:type="continuationSeparator" w:id="0">
    <w:p w14:paraId="174308F0" w14:textId="77777777" w:rsidR="00000000" w:rsidRDefault="0075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55E08" w14:textId="77777777" w:rsidR="00000000" w:rsidRDefault="007530C6">
      <w:r>
        <w:separator/>
      </w:r>
    </w:p>
  </w:footnote>
  <w:footnote w:type="continuationSeparator" w:id="0">
    <w:p w14:paraId="3A5ADFA4" w14:textId="77777777" w:rsidR="00000000" w:rsidRDefault="00753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CA90" w14:textId="77777777" w:rsidR="00FD4A09" w:rsidRDefault="007530C6">
    <w:pPr>
      <w:pBdr>
        <w:top w:val="nil"/>
        <w:left w:val="nil"/>
        <w:bottom w:val="nil"/>
        <w:right w:val="nil"/>
        <w:between w:val="nil"/>
      </w:pBdr>
      <w:tabs>
        <w:tab w:val="center" w:pos="4819"/>
        <w:tab w:val="right" w:pos="9638"/>
      </w:tabs>
      <w:rPr>
        <w:rFonts w:ascii="Arial" w:eastAsia="Arial" w:hAnsi="Arial" w:cs="Arial"/>
        <w:color w:val="3A7AB2"/>
        <w:sz w:val="28"/>
        <w:szCs w:val="28"/>
      </w:rPr>
    </w:pPr>
    <w:r>
      <w:rPr>
        <w:rFonts w:ascii="Arial" w:eastAsia="Arial" w:hAnsi="Arial" w:cs="Arial"/>
        <w:noProof/>
        <w:color w:val="3A7AB2"/>
        <w:sz w:val="28"/>
        <w:szCs w:val="28"/>
      </w:rPr>
      <w:drawing>
        <wp:inline distT="0" distB="0" distL="0" distR="0" wp14:anchorId="545584F6" wp14:editId="6FDAB611">
          <wp:extent cx="972902" cy="246830"/>
          <wp:effectExtent l="0" t="0" r="0"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72902" cy="246830"/>
                  </a:xfrm>
                  <a:prstGeom prst="rect">
                    <a:avLst/>
                  </a:prstGeom>
                  <a:ln/>
                </pic:spPr>
              </pic:pic>
            </a:graphicData>
          </a:graphic>
        </wp:inline>
      </w:drawing>
    </w:r>
    <w:r>
      <w:rPr>
        <w:rFonts w:ascii="Arial" w:eastAsia="Arial" w:hAnsi="Arial" w:cs="Arial"/>
        <w:color w:val="3A7AB2"/>
        <w:sz w:val="28"/>
        <w:szCs w:val="28"/>
      </w:rPr>
      <w:t xml:space="preserve">  </w:t>
    </w:r>
    <w:r>
      <w:rPr>
        <w:rFonts w:ascii="Arial" w:eastAsia="Arial" w:hAnsi="Arial" w:cs="Arial"/>
        <w:color w:val="3A7AB2"/>
        <w:sz w:val="28"/>
        <w:szCs w:val="28"/>
      </w:rPr>
      <w:tab/>
      <w:t xml:space="preserve">    </w:t>
    </w:r>
    <w:r>
      <w:rPr>
        <w:noProof/>
      </w:rPr>
      <w:drawing>
        <wp:anchor distT="152400" distB="152400" distL="152400" distR="152400" simplePos="0" relativeHeight="251658240" behindDoc="0" locked="0" layoutInCell="1" hidden="0" allowOverlap="1" wp14:anchorId="3487AF2D" wp14:editId="545814B5">
          <wp:simplePos x="0" y="0"/>
          <wp:positionH relativeFrom="column">
            <wp:posOffset>5505450</wp:posOffset>
          </wp:positionH>
          <wp:positionV relativeFrom="paragraph">
            <wp:posOffset>-447663</wp:posOffset>
          </wp:positionV>
          <wp:extent cx="720001" cy="720001"/>
          <wp:effectExtent l="0" t="0" r="0" b="0"/>
          <wp:wrapSquare wrapText="bothSides" distT="152400" distB="152400" distL="152400" distR="15240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14:paraId="5D89F52B" w14:textId="77777777" w:rsidR="00FD4A09" w:rsidRDefault="00FD4A09">
    <w:pPr>
      <w:pBdr>
        <w:top w:val="nil"/>
        <w:left w:val="nil"/>
        <w:bottom w:val="nil"/>
        <w:right w:val="nil"/>
        <w:between w:val="nil"/>
      </w:pBdr>
      <w:tabs>
        <w:tab w:val="center" w:pos="4819"/>
        <w:tab w:val="right" w:pos="9638"/>
      </w:tabs>
      <w:rPr>
        <w:rFonts w:ascii="Arial" w:eastAsia="Arial" w:hAnsi="Arial" w:cs="Arial"/>
        <w:b/>
        <w:color w:val="3A7AB2"/>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5B36BC"/>
    <w:multiLevelType w:val="multilevel"/>
    <w:tmpl w:val="F1C48E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09"/>
    <w:rsid w:val="007530C6"/>
    <w:rsid w:val="00FD4A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E369"/>
  <w15:docId w15:val="{C1B83DD1-F632-4E9A-A169-0ED9B602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pBdr>
        <w:top w:val="nil"/>
        <w:left w:val="nil"/>
        <w:bottom w:val="nil"/>
        <w:right w:val="nil"/>
        <w:between w:val="nil"/>
      </w:pBdr>
    </w:pPr>
    <w:rPr>
      <w:rFonts w:ascii="Helvetica Neue" w:eastAsia="Helvetica Neue" w:hAnsi="Helvetica Neue" w:cs="Helvetica Neue"/>
      <w:b/>
      <w:color w:val="000000"/>
      <w:sz w:val="60"/>
      <w:szCs w:val="6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A5694"/>
    <w:pPr>
      <w:spacing w:before="100" w:beforeAutospacing="1" w:after="100" w:afterAutospacing="1"/>
    </w:pPr>
  </w:style>
  <w:style w:type="paragraph" w:styleId="Prrafodelista">
    <w:name w:val="List Paragraph"/>
    <w:basedOn w:val="Normal"/>
    <w:uiPriority w:val="34"/>
    <w:qFormat/>
    <w:rsid w:val="00A97D9F"/>
    <w:pPr>
      <w:ind w:left="720"/>
      <w:contextualSpacing/>
    </w:pPr>
  </w:style>
  <w:style w:type="character" w:styleId="Refdecomentario">
    <w:name w:val="annotation reference"/>
    <w:uiPriority w:val="99"/>
    <w:semiHidden/>
    <w:unhideWhenUsed/>
    <w:rPr>
      <w:sz w:val="16"/>
      <w:szCs w:val="16"/>
    </w:rPr>
  </w:style>
  <w:style w:type="paragraph" w:styleId="Textocomentario">
    <w:name w:val="annotation text"/>
    <w:basedOn w:val="Normal"/>
    <w:link w:val="TextocomentarioCar1"/>
    <w:uiPriority w:val="99"/>
    <w:unhideWhenUsed/>
    <w:rPr>
      <w:sz w:val="20"/>
      <w:szCs w:val="20"/>
    </w:rPr>
  </w:style>
  <w:style w:type="character" w:customStyle="1" w:styleId="TextocomentarioCar">
    <w:name w:val="Texto comentario Car"/>
    <w:basedOn w:val="Fuentedeprrafopredeter"/>
    <w:uiPriority w:val="99"/>
    <w:semiHidden/>
    <w:rsid w:val="0065073B"/>
    <w:rPr>
      <w:sz w:val="20"/>
      <w:szCs w:val="20"/>
    </w:rPr>
  </w:style>
  <w:style w:type="paragraph" w:styleId="Asuntodelcomentario">
    <w:name w:val="annotation subject"/>
    <w:basedOn w:val="Textocomentario"/>
    <w:next w:val="Textocomentario"/>
    <w:link w:val="AsuntodelcomentarioCar1"/>
    <w:uiPriority w:val="99"/>
    <w:semiHidden/>
    <w:unhideWhenUsed/>
    <w:rPr>
      <w:b/>
      <w:bCs/>
    </w:rPr>
  </w:style>
  <w:style w:type="character" w:customStyle="1" w:styleId="AsuntodelcomentarioCar">
    <w:name w:val="Asunto del comentario Car"/>
    <w:basedOn w:val="TextocomentarioCar"/>
    <w:uiPriority w:val="99"/>
    <w:semiHidden/>
    <w:rsid w:val="0065073B"/>
    <w:rPr>
      <w:b/>
      <w:bCs/>
      <w:sz w:val="20"/>
      <w:szCs w:val="20"/>
    </w:rPr>
  </w:style>
  <w:style w:type="paragraph" w:styleId="Textodeglobo">
    <w:name w:val="Balloon Text"/>
    <w:basedOn w:val="Normal"/>
    <w:link w:val="TextodegloboCar"/>
    <w:uiPriority w:val="99"/>
    <w:semiHidden/>
    <w:unhideWhenUsed/>
    <w:rsid w:val="00650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73B"/>
    <w:rPr>
      <w:rFonts w:ascii="Segoe UI" w:hAnsi="Segoe UI" w:cs="Segoe UI"/>
      <w:sz w:val="18"/>
      <w:szCs w:val="18"/>
    </w:rPr>
  </w:style>
  <w:style w:type="character" w:styleId="Hipervnculo">
    <w:name w:val="Hyperlink"/>
    <w:basedOn w:val="Fuentedeprrafopredeter"/>
    <w:uiPriority w:val="99"/>
    <w:unhideWhenUsed/>
    <w:rsid w:val="00E85E8D"/>
    <w:rPr>
      <w:color w:val="0000FF"/>
      <w:u w:val="single"/>
    </w:rPr>
  </w:style>
  <w:style w:type="character" w:customStyle="1" w:styleId="AsuntodelcomentarioCar1">
    <w:name w:val="Asunto del comentario Car1"/>
    <w:basedOn w:val="TextocomentarioCar1"/>
    <w:link w:val="Asuntodelcomentario"/>
    <w:uiPriority w:val="99"/>
    <w:semiHidden/>
    <w:rPr>
      <w:b/>
      <w:bCs/>
      <w:sz w:val="20"/>
      <w:szCs w:val="20"/>
    </w:rPr>
  </w:style>
  <w:style w:type="character" w:customStyle="1" w:styleId="TextocomentarioCar1">
    <w:name w:val="Texto comentario Car1"/>
    <w:link w:val="Textocomentario"/>
    <w:uiPriority w:val="99"/>
    <w:rPr>
      <w:sz w:val="20"/>
      <w:szCs w:val="20"/>
    </w:rPr>
  </w:style>
  <w:style w:type="character" w:styleId="Textoennegrita">
    <w:name w:val="Strong"/>
    <w:basedOn w:val="Fuentedeprrafopredeter"/>
    <w:uiPriority w:val="22"/>
    <w:qFormat/>
    <w:rsid w:val="0000408C"/>
    <w:rPr>
      <w:b/>
      <w:bCs/>
    </w:rPr>
  </w:style>
  <w:style w:type="paragraph" w:customStyle="1" w:styleId="Cuadrculamedia21">
    <w:name w:val="Cuadrícula media 21"/>
    <w:link w:val="Cuadrculamedia2Car"/>
    <w:uiPriority w:val="1"/>
    <w:qFormat/>
    <w:rsid w:val="00610F22"/>
    <w:rPr>
      <w:rFonts w:ascii="Calibri" w:hAnsi="Calibri"/>
      <w:sz w:val="22"/>
      <w:szCs w:val="22"/>
      <w:lang w:eastAsia="en-US"/>
    </w:rPr>
  </w:style>
  <w:style w:type="character" w:customStyle="1" w:styleId="Cuadrculamedia2Car">
    <w:name w:val="Cuadrícula media 2 Car"/>
    <w:link w:val="Cuadrculamedia21"/>
    <w:uiPriority w:val="1"/>
    <w:locked/>
    <w:rsid w:val="00610F22"/>
    <w:rPr>
      <w:rFonts w:ascii="Calibri" w:hAnsi="Calibri"/>
      <w:sz w:val="22"/>
      <w:szCs w:val="22"/>
      <w:lang w:val="es-ES" w:eastAsia="en-US"/>
    </w:rPr>
  </w:style>
  <w:style w:type="character" w:customStyle="1" w:styleId="qowt-font1-calibri">
    <w:name w:val="qowt-font1-calibri"/>
    <w:rsid w:val="00610F22"/>
  </w:style>
  <w:style w:type="character" w:styleId="Mencinsinresolver">
    <w:name w:val="Unresolved Mention"/>
    <w:basedOn w:val="Fuentedeprrafopredeter"/>
    <w:uiPriority w:val="99"/>
    <w:semiHidden/>
    <w:unhideWhenUsed/>
    <w:rsid w:val="00A577E5"/>
    <w:rPr>
      <w:color w:val="605E5C"/>
      <w:shd w:val="clear" w:color="auto" w:fill="E1DFDD"/>
    </w:rPr>
  </w:style>
  <w:style w:type="character" w:styleId="Hipervnculovisitado">
    <w:name w:val="FollowedHyperlink"/>
    <w:basedOn w:val="Fuentedeprrafopredeter"/>
    <w:uiPriority w:val="99"/>
    <w:semiHidden/>
    <w:unhideWhenUsed/>
    <w:rsid w:val="00895E5D"/>
    <w:rPr>
      <w:color w:val="800080" w:themeColor="followedHyperlink"/>
      <w:u w:val="single"/>
    </w:rPr>
  </w:style>
  <w:style w:type="paragraph" w:styleId="Encabezado">
    <w:name w:val="header"/>
    <w:basedOn w:val="Normal"/>
    <w:link w:val="EncabezadoCar"/>
    <w:uiPriority w:val="99"/>
    <w:unhideWhenUsed/>
    <w:rsid w:val="007530C6"/>
    <w:pPr>
      <w:tabs>
        <w:tab w:val="center" w:pos="4252"/>
        <w:tab w:val="right" w:pos="8504"/>
      </w:tabs>
    </w:pPr>
  </w:style>
  <w:style w:type="character" w:customStyle="1" w:styleId="EncabezadoCar">
    <w:name w:val="Encabezado Car"/>
    <w:basedOn w:val="Fuentedeprrafopredeter"/>
    <w:link w:val="Encabezado"/>
    <w:uiPriority w:val="99"/>
    <w:rsid w:val="007530C6"/>
  </w:style>
  <w:style w:type="paragraph" w:styleId="Piedepgina">
    <w:name w:val="footer"/>
    <w:basedOn w:val="Normal"/>
    <w:link w:val="PiedepginaCar"/>
    <w:uiPriority w:val="99"/>
    <w:unhideWhenUsed/>
    <w:rsid w:val="007530C6"/>
    <w:pPr>
      <w:tabs>
        <w:tab w:val="center" w:pos="4252"/>
        <w:tab w:val="right" w:pos="8504"/>
      </w:tabs>
    </w:pPr>
  </w:style>
  <w:style w:type="character" w:customStyle="1" w:styleId="PiedepginaCar">
    <w:name w:val="Pie de página Car"/>
    <w:basedOn w:val="Fuentedeprrafopredeter"/>
    <w:link w:val="Piedepgina"/>
    <w:uiPriority w:val="99"/>
    <w:rsid w:val="00753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motos.coches.n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ches.net/" TargetMode="External"/><Relationship Id="rId17" Type="http://schemas.openxmlformats.org/officeDocument/2006/relationships/hyperlink" Target="mailto:infojobs@evercom.es" TargetMode="External"/><Relationship Id="rId2" Type="http://schemas.openxmlformats.org/officeDocument/2006/relationships/numbering" Target="numbering.xml"/><Relationship Id="rId16" Type="http://schemas.openxmlformats.org/officeDocument/2006/relationships/hyperlink" Target="mailto:prensa@infojob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5" Type="http://schemas.openxmlformats.org/officeDocument/2006/relationships/webSettings" Target="webSettings.xml"/><Relationship Id="rId15" Type="http://schemas.openxmlformats.org/officeDocument/2006/relationships/hyperlink" Target="https://www.adevinta.com/es/spain/" TargetMode="External"/><Relationship Id="rId10" Type="http://schemas.openxmlformats.org/officeDocument/2006/relationships/hyperlink" Target="https://www.habitacl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s://www.milanuncio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VESRV03\BARCELONA\1.%20CLIENTES\5.%20INFOJOBS\2020\4.%20MMCC\01.%20INFORME%20ANUAL\16.%20EMPLEO%20PA&#205;SES%20UE\201207_IJ_Employment%20International%20Countri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ES"/>
              <a:t>Evolución del empleo en 2020</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ES"/>
        </a:p>
      </c:txPr>
    </c:title>
    <c:autoTitleDeleted val="0"/>
    <c:plotArea>
      <c:layout/>
      <c:lineChart>
        <c:grouping val="standard"/>
        <c:varyColors val="0"/>
        <c:ser>
          <c:idx val="4"/>
          <c:order val="0"/>
          <c:tx>
            <c:strRef>
              <c:f>Europe!$AB$8</c:f>
              <c:strCache>
                <c:ptCount val="1"/>
                <c:pt idx="0">
                  <c:v>ES</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cat>
            <c:strRef>
              <c:f>Europe!$AC$2:$AM$2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Europe!$AC$8:$AM$8</c:f>
              <c:numCache>
                <c:formatCode>0%</c:formatCode>
                <c:ptCount val="11"/>
                <c:pt idx="0">
                  <c:v>3.1773968708870282E-3</c:v>
                </c:pt>
                <c:pt idx="1">
                  <c:v>-5.1128099944061201E-2</c:v>
                </c:pt>
                <c:pt idx="2">
                  <c:v>-0.24598601185951041</c:v>
                </c:pt>
                <c:pt idx="3">
                  <c:v>-0.60157489145585341</c:v>
                </c:pt>
                <c:pt idx="4">
                  <c:v>-0.53814528139617812</c:v>
                </c:pt>
                <c:pt idx="5">
                  <c:v>-0.38008686585301821</c:v>
                </c:pt>
                <c:pt idx="6">
                  <c:v>-0.2924384014752911</c:v>
                </c:pt>
                <c:pt idx="7">
                  <c:v>-0.23838851962518037</c:v>
                </c:pt>
                <c:pt idx="8">
                  <c:v>-0.21265329901696894</c:v>
                </c:pt>
                <c:pt idx="9">
                  <c:v>-0.2873031330803586</c:v>
                </c:pt>
                <c:pt idx="10">
                  <c:v>-0.2274751445960761</c:v>
                </c:pt>
              </c:numCache>
            </c:numRef>
          </c:val>
          <c:smooth val="0"/>
          <c:extLst>
            <c:ext xmlns:c16="http://schemas.microsoft.com/office/drawing/2014/chart" uri="{C3380CC4-5D6E-409C-BE32-E72D297353CC}">
              <c16:uniqueId val="{00000004-517A-4B95-A174-1E9487982E6F}"/>
            </c:ext>
          </c:extLst>
        </c:ser>
        <c:ser>
          <c:idx val="8"/>
          <c:order val="1"/>
          <c:tx>
            <c:strRef>
              <c:f>Europe!$AB$12</c:f>
              <c:strCache>
                <c:ptCount val="1"/>
              </c:strCache>
            </c:strRef>
          </c:tx>
          <c:spPr>
            <a:ln w="31750" cap="rnd">
              <a:solidFill>
                <a:schemeClr val="accent3">
                  <a:lumMod val="60000"/>
                </a:schemeClr>
              </a:solidFill>
              <a:round/>
            </a:ln>
            <a:effectLst>
              <a:outerShdw blurRad="40000" dist="23000" dir="5400000" rotWithShape="0">
                <a:srgbClr val="000000">
                  <a:alpha val="35000"/>
                </a:srgbClr>
              </a:outerShdw>
            </a:effectLst>
          </c:spPr>
          <c:marker>
            <c:symbol val="none"/>
          </c:marker>
          <c:cat>
            <c:strRef>
              <c:f>Europe!$AC$2:$AM$2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Europe!$AC$12:$AM$12</c:f>
              <c:numCache>
                <c:formatCode>General</c:formatCode>
                <c:ptCount val="11"/>
              </c:numCache>
            </c:numRef>
          </c:val>
          <c:smooth val="0"/>
          <c:extLst>
            <c:ext xmlns:c16="http://schemas.microsoft.com/office/drawing/2014/chart" uri="{C3380CC4-5D6E-409C-BE32-E72D297353CC}">
              <c16:uniqueId val="{00000008-517A-4B95-A174-1E9487982E6F}"/>
            </c:ext>
          </c:extLst>
        </c:ser>
        <c:ser>
          <c:idx val="9"/>
          <c:order val="2"/>
          <c:tx>
            <c:strRef>
              <c:f>Europe!$AB$13</c:f>
              <c:strCache>
                <c:ptCount val="1"/>
              </c:strCache>
            </c:strRef>
          </c:tx>
          <c:spPr>
            <a:ln w="31750" cap="rnd">
              <a:solidFill>
                <a:schemeClr val="accent4">
                  <a:lumMod val="60000"/>
                </a:schemeClr>
              </a:solidFill>
              <a:round/>
            </a:ln>
            <a:effectLst>
              <a:outerShdw blurRad="40000" dist="23000" dir="5400000" rotWithShape="0">
                <a:srgbClr val="000000">
                  <a:alpha val="35000"/>
                </a:srgbClr>
              </a:outerShdw>
            </a:effectLst>
          </c:spPr>
          <c:marker>
            <c:symbol val="none"/>
          </c:marker>
          <c:cat>
            <c:strRef>
              <c:f>Europe!$AC$2:$AM$2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Europe!$AC$13:$AM$13</c:f>
              <c:numCache>
                <c:formatCode>General</c:formatCode>
                <c:ptCount val="11"/>
              </c:numCache>
            </c:numRef>
          </c:val>
          <c:smooth val="0"/>
          <c:extLst>
            <c:ext xmlns:c16="http://schemas.microsoft.com/office/drawing/2014/chart" uri="{C3380CC4-5D6E-409C-BE32-E72D297353CC}">
              <c16:uniqueId val="{00000009-517A-4B95-A174-1E9487982E6F}"/>
            </c:ext>
          </c:extLst>
        </c:ser>
        <c:ser>
          <c:idx val="10"/>
          <c:order val="3"/>
          <c:tx>
            <c:strRef>
              <c:f>Europe!$AB$14</c:f>
              <c:strCache>
                <c:ptCount val="1"/>
                <c:pt idx="0">
                  <c:v>EU</c:v>
                </c:pt>
              </c:strCache>
            </c:strRef>
          </c:tx>
          <c:spPr>
            <a:ln w="31750" cap="rnd">
              <a:solidFill>
                <a:schemeClr val="accent5">
                  <a:lumMod val="60000"/>
                </a:schemeClr>
              </a:solidFill>
              <a:round/>
            </a:ln>
            <a:effectLst>
              <a:outerShdw blurRad="40000" dist="23000" dir="5400000" rotWithShape="0">
                <a:srgbClr val="000000">
                  <a:alpha val="35000"/>
                </a:srgbClr>
              </a:outerShdw>
            </a:effectLst>
          </c:spPr>
          <c:marker>
            <c:symbol val="none"/>
          </c:marker>
          <c:cat>
            <c:strRef>
              <c:f>Europe!$AC$2:$AM$2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Europe!$AC$14:$AM$14</c:f>
              <c:numCache>
                <c:formatCode>0.0%</c:formatCode>
                <c:ptCount val="11"/>
                <c:pt idx="0">
                  <c:v>1.4725274425878343E-2</c:v>
                </c:pt>
                <c:pt idx="1">
                  <c:v>-4.3811866901387608E-3</c:v>
                </c:pt>
                <c:pt idx="2">
                  <c:v>-0.2157353286163548</c:v>
                </c:pt>
                <c:pt idx="3">
                  <c:v>-0.47825194012294303</c:v>
                </c:pt>
                <c:pt idx="4">
                  <c:v>-0.43699910482057647</c:v>
                </c:pt>
                <c:pt idx="5">
                  <c:v>-0.29638642858182995</c:v>
                </c:pt>
                <c:pt idx="6">
                  <c:v>-0.28410855300106297</c:v>
                </c:pt>
                <c:pt idx="7">
                  <c:v>-0.27927855179007455</c:v>
                </c:pt>
                <c:pt idx="8">
                  <c:v>-0.18722718968361551</c:v>
                </c:pt>
                <c:pt idx="9">
                  <c:v>-0.17879101106389494</c:v>
                </c:pt>
                <c:pt idx="10">
                  <c:v>-0.19544902690033739</c:v>
                </c:pt>
              </c:numCache>
            </c:numRef>
          </c:val>
          <c:smooth val="0"/>
          <c:extLst>
            <c:ext xmlns:c16="http://schemas.microsoft.com/office/drawing/2014/chart" uri="{C3380CC4-5D6E-409C-BE32-E72D297353CC}">
              <c16:uniqueId val="{0000000A-517A-4B95-A174-1E9487982E6F}"/>
            </c:ext>
          </c:extLst>
        </c:ser>
        <c:ser>
          <c:idx val="11"/>
          <c:order val="4"/>
          <c:tx>
            <c:strRef>
              <c:f>Europe!$AB$15</c:f>
              <c:strCache>
                <c:ptCount val="1"/>
              </c:strCache>
            </c:strRef>
          </c:tx>
          <c:spPr>
            <a:ln w="31750" cap="rnd">
              <a:solidFill>
                <a:schemeClr val="accent6">
                  <a:lumMod val="60000"/>
                </a:schemeClr>
              </a:solidFill>
              <a:round/>
            </a:ln>
            <a:effectLst>
              <a:outerShdw blurRad="40000" dist="23000" dir="5400000" rotWithShape="0">
                <a:srgbClr val="000000">
                  <a:alpha val="35000"/>
                </a:srgbClr>
              </a:outerShdw>
            </a:effectLst>
          </c:spPr>
          <c:marker>
            <c:symbol val="none"/>
          </c:marker>
          <c:cat>
            <c:strRef>
              <c:f>Europe!$AC$2:$AM$2</c:f>
              <c:strCache>
                <c:ptCount val="11"/>
                <c:pt idx="0">
                  <c:v>Enero</c:v>
                </c:pt>
                <c:pt idx="1">
                  <c:v>Febrero</c:v>
                </c:pt>
                <c:pt idx="2">
                  <c:v>Marzo</c:v>
                </c:pt>
                <c:pt idx="3">
                  <c:v>Abril</c:v>
                </c:pt>
                <c:pt idx="4">
                  <c:v>Mayo</c:v>
                </c:pt>
                <c:pt idx="5">
                  <c:v>Junio</c:v>
                </c:pt>
                <c:pt idx="6">
                  <c:v>Julio</c:v>
                </c:pt>
                <c:pt idx="7">
                  <c:v>Agosto</c:v>
                </c:pt>
                <c:pt idx="8">
                  <c:v>Septiembre</c:v>
                </c:pt>
                <c:pt idx="9">
                  <c:v>Octubre</c:v>
                </c:pt>
                <c:pt idx="10">
                  <c:v>Noviembre</c:v>
                </c:pt>
              </c:strCache>
            </c:strRef>
          </c:cat>
          <c:val>
            <c:numRef>
              <c:f>Europe!$AC$15:$AM$15</c:f>
              <c:numCache>
                <c:formatCode>General</c:formatCode>
                <c:ptCount val="11"/>
              </c:numCache>
            </c:numRef>
          </c:val>
          <c:smooth val="0"/>
          <c:extLst>
            <c:ext xmlns:c16="http://schemas.microsoft.com/office/drawing/2014/chart" uri="{C3380CC4-5D6E-409C-BE32-E72D297353CC}">
              <c16:uniqueId val="{0000000B-517A-4B95-A174-1E9487982E6F}"/>
            </c:ext>
          </c:extLst>
        </c:ser>
        <c:dLbls>
          <c:showLegendKey val="0"/>
          <c:showVal val="0"/>
          <c:showCatName val="0"/>
          <c:showSerName val="0"/>
          <c:showPercent val="0"/>
          <c:showBubbleSize val="0"/>
        </c:dLbls>
        <c:smooth val="0"/>
        <c:axId val="238562896"/>
        <c:axId val="202229408"/>
      </c:lineChart>
      <c:catAx>
        <c:axId val="238562896"/>
        <c:scaling>
          <c:orientation val="minMax"/>
        </c:scaling>
        <c:delete val="1"/>
        <c:axPos val="b"/>
        <c:numFmt formatCode="General" sourceLinked="1"/>
        <c:majorTickMark val="out"/>
        <c:minorTickMark val="none"/>
        <c:tickLblPos val="nextTo"/>
        <c:crossAx val="202229408"/>
        <c:crosses val="autoZero"/>
        <c:auto val="1"/>
        <c:lblAlgn val="ctr"/>
        <c:lblOffset val="100"/>
        <c:noMultiLvlLbl val="0"/>
      </c:catAx>
      <c:valAx>
        <c:axId val="202229408"/>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crossAx val="238562896"/>
        <c:crosses val="autoZero"/>
        <c:crossBetween val="between"/>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MaTnuNR2OHCA+geT8Ovxcg6V4w==">AMUW2mVyoDx7Ysrw0cHOu3Vmn8euGRE5+i7wdzVXIfuR4/FWM6GSvzlHaGzVqaqS4h4vXSiRH/cAJMS8ZQ1B3UYWD1FXt8mF84BBpdD/5EA4PL8G/nviLDA=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1235</Words>
  <Characters>6793</Characters>
  <Application>Microsoft Office Word</Application>
  <DocSecurity>0</DocSecurity>
  <Lines>56</Lines>
  <Paragraphs>16</Paragraphs>
  <ScaleCrop>false</ScaleCrop>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 Casas</dc:creator>
  <cp:lastModifiedBy>Pablo Gutiérrez</cp:lastModifiedBy>
  <cp:revision>2</cp:revision>
  <dcterms:created xsi:type="dcterms:W3CDTF">2020-12-21T15:38:00Z</dcterms:created>
  <dcterms:modified xsi:type="dcterms:W3CDTF">2020-12-23T10:28:00Z</dcterms:modified>
</cp:coreProperties>
</file>