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B5FB"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rPr>
          <w:color w:val="919191"/>
          <w:sz w:val="24"/>
          <w:szCs w:val="24"/>
          <w:lang w:val="es-ES_tradnl"/>
        </w:rPr>
      </w:pPr>
    </w:p>
    <w:p w14:paraId="4C21603F" w14:textId="77777777" w:rsid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4"/>
          <w:szCs w:val="24"/>
          <w:lang w:val="es-ES_tradnl"/>
        </w:rPr>
      </w:pPr>
      <w:r>
        <w:rPr>
          <w:color w:val="919191"/>
          <w:sz w:val="24"/>
          <w:szCs w:val="24"/>
          <w:lang w:val="es-ES_tradnl"/>
        </w:rPr>
        <w:t>#InfoJobsOpina</w:t>
      </w:r>
    </w:p>
    <w:p w14:paraId="0E950D06" w14:textId="6B2A2D86" w:rsidR="00042746" w:rsidRPr="00042746" w:rsidRDefault="00042746" w:rsidP="00042746">
      <w:pPr>
        <w:pStyle w:val="Cabeceraypie"/>
        <w:pBdr>
          <w:top w:val="none" w:sz="0" w:space="0" w:color="auto"/>
          <w:left w:val="none" w:sz="0" w:space="0" w:color="auto"/>
          <w:bottom w:val="none" w:sz="0" w:space="0" w:color="auto"/>
          <w:right w:val="none" w:sz="0" w:space="0" w:color="auto"/>
        </w:pBdr>
        <w:tabs>
          <w:tab w:val="clear" w:pos="9020"/>
          <w:tab w:val="center" w:pos="4819"/>
          <w:tab w:val="right" w:pos="9638"/>
        </w:tabs>
        <w:jc w:val="center"/>
        <w:rPr>
          <w:color w:val="919191"/>
          <w:sz w:val="22"/>
          <w:szCs w:val="22"/>
          <w:lang w:val="es-ES_tradnl"/>
        </w:rPr>
      </w:pPr>
      <w:r w:rsidRPr="00042746">
        <w:rPr>
          <w:color w:val="919191"/>
          <w:sz w:val="22"/>
          <w:szCs w:val="22"/>
          <w:lang w:val="es-ES_tradnl"/>
        </w:rPr>
        <w:t>Valoración datos de la EPA del segundo trimestre de 2020</w:t>
      </w:r>
    </w:p>
    <w:p w14:paraId="5F05EF6A" w14:textId="07214ADE" w:rsidR="008E0D95" w:rsidRPr="00412194" w:rsidRDefault="008E0D95" w:rsidP="008E0D95">
      <w:pPr>
        <w:spacing w:line="276" w:lineRule="auto"/>
        <w:ind w:right="-574"/>
        <w:jc w:val="center"/>
        <w:rPr>
          <w:rFonts w:ascii="Arial" w:hAnsi="Arial" w:cs="Arial"/>
          <w:b/>
          <w:bCs/>
          <w:iCs/>
          <w:color w:val="A6A6A6" w:themeColor="background1" w:themeShade="A6"/>
          <w:sz w:val="20"/>
          <w:szCs w:val="16"/>
        </w:rPr>
      </w:pPr>
    </w:p>
    <w:p w14:paraId="5E32BCB5" w14:textId="6DE138B2" w:rsidR="00F06CB7" w:rsidRPr="00F06CB7" w:rsidRDefault="00F06CB7" w:rsidP="00F06CB7">
      <w:pPr>
        <w:spacing w:before="100" w:beforeAutospacing="1" w:after="100" w:afterAutospacing="1"/>
        <w:jc w:val="center"/>
        <w:rPr>
          <w:rFonts w:ascii="Arial" w:eastAsia="Arial Unicode MS" w:hAnsi="Arial" w:cs="Arial Unicode MS"/>
          <w:color w:val="0070C0"/>
          <w:sz w:val="50"/>
          <w:szCs w:val="50"/>
          <w:u w:color="27AAE1"/>
          <w:bdr w:val="nil"/>
          <w:lang w:eastAsia="es-ES"/>
        </w:rPr>
      </w:pPr>
      <w:r w:rsidRPr="00F06CB7">
        <w:rPr>
          <w:rFonts w:ascii="Arial" w:eastAsia="Arial Unicode MS" w:hAnsi="Arial" w:cs="Arial Unicode MS"/>
          <w:color w:val="0070C0"/>
          <w:sz w:val="50"/>
          <w:szCs w:val="50"/>
          <w:u w:color="27AAE1"/>
          <w:bdr w:val="nil"/>
          <w:lang w:eastAsia="es-ES"/>
        </w:rPr>
        <w:t>Tres claves para entender la evolución del empleo tras la pandemia</w:t>
      </w:r>
    </w:p>
    <w:p w14:paraId="7E5A6F12" w14:textId="7448F8A6" w:rsidR="0047055B" w:rsidRPr="0047055B" w:rsidRDefault="008E0D95" w:rsidP="0047055B">
      <w:pPr>
        <w:spacing w:before="100" w:beforeAutospacing="1" w:after="100" w:afterAutospacing="1" w:line="276" w:lineRule="auto"/>
        <w:rPr>
          <w:rFonts w:ascii="Arial" w:hAnsi="Arial" w:cs="Arial"/>
          <w:sz w:val="20"/>
          <w:szCs w:val="20"/>
        </w:rPr>
      </w:pPr>
      <w:r w:rsidRPr="00714276">
        <w:rPr>
          <w:rFonts w:ascii="Arial" w:hAnsi="Arial" w:cs="Arial"/>
          <w:b/>
          <w:bCs/>
          <w:sz w:val="20"/>
          <w:szCs w:val="20"/>
        </w:rPr>
        <w:t>Madrid, 2</w:t>
      </w:r>
      <w:r>
        <w:rPr>
          <w:rFonts w:ascii="Arial" w:hAnsi="Arial" w:cs="Arial"/>
          <w:b/>
          <w:bCs/>
          <w:sz w:val="20"/>
          <w:szCs w:val="20"/>
        </w:rPr>
        <w:t>8</w:t>
      </w:r>
      <w:r w:rsidRPr="00714276">
        <w:rPr>
          <w:rFonts w:ascii="Arial" w:hAnsi="Arial" w:cs="Arial"/>
          <w:b/>
          <w:bCs/>
          <w:sz w:val="20"/>
          <w:szCs w:val="20"/>
        </w:rPr>
        <w:t xml:space="preserve"> de julio 2020</w:t>
      </w:r>
      <w:r w:rsidRPr="008E0D95">
        <w:rPr>
          <w:rFonts w:ascii="Arial" w:hAnsi="Arial" w:cs="Arial"/>
          <w:sz w:val="20"/>
          <w:szCs w:val="20"/>
        </w:rPr>
        <w:t xml:space="preserve">.- </w:t>
      </w:r>
      <w:r w:rsidR="0047055B" w:rsidRPr="0047055B">
        <w:rPr>
          <w:rFonts w:ascii="Arial" w:hAnsi="Arial" w:cs="Arial"/>
          <w:sz w:val="20"/>
          <w:szCs w:val="20"/>
        </w:rPr>
        <w:t>Las del segundo trimestre de 2020 probablemente sean las cifras de la Encuesta de Población Activa (EPA) más anómalas desde que existen registros. El motivo no es ningún misterio: la pandemia y sus efectos sobre el mercado laboral. Los datos publicados hoy por el Instituto Nacional de Estadística (INE) registran, con respecto al trimestre anterior, un descenso de la ocupación de 1.074.000 personas y un incremento del desempleo en 55.000.</w:t>
      </w:r>
    </w:p>
    <w:p w14:paraId="6E63F04F" w14:textId="77777777"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t xml:space="preserve">El contexto, en este caso, es más importante que nunca. La encuesta abarca 13 semanas: desde el 1 de abril a finales de junio, lo que significa que comienza durante el confinamiento y acaba en la llamada nueva normalidad. Históricamente, este trimestre es el de las contrataciones masivas en el sector turístico y hostelero, uno de los más afectados por las medidas de salud pública adoptadas. </w:t>
      </w:r>
    </w:p>
    <w:p w14:paraId="0B0700C3" w14:textId="77777777"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t xml:space="preserve">Pero las cifras de ocupados y parados, las principales variables que deja cada trimestre la EPA, no ofrecen el retrato que estas especiales circunstancias precisan: a los afectados por ERTE se les considera ocupados. Para acercarnos a esta realidad, siguiendo la línea marcada por el INE, hay que mirar a los ocupados afectados por </w:t>
      </w:r>
      <w:r w:rsidRPr="0047055B">
        <w:rPr>
          <w:rFonts w:ascii="Arial" w:hAnsi="Arial" w:cs="Arial"/>
          <w:b/>
          <w:bCs/>
          <w:sz w:val="20"/>
          <w:szCs w:val="20"/>
        </w:rPr>
        <w:t>paros parciales</w:t>
      </w:r>
      <w:r w:rsidRPr="0047055B">
        <w:rPr>
          <w:rFonts w:ascii="Arial" w:hAnsi="Arial" w:cs="Arial"/>
          <w:sz w:val="20"/>
          <w:szCs w:val="20"/>
        </w:rPr>
        <w:t xml:space="preserve"> por razones técnicas y económicas y a los que están en regulación de empleo. </w:t>
      </w:r>
    </w:p>
    <w:p w14:paraId="5DBE36B2" w14:textId="3E839DE7" w:rsidR="00612D90" w:rsidRDefault="0047055B" w:rsidP="0047055B">
      <w:pPr>
        <w:spacing w:after="157" w:line="360" w:lineRule="auto"/>
        <w:jc w:val="center"/>
        <w:rPr>
          <w:rStyle w:val="Muydestacado"/>
          <w:rFonts w:ascii="Arial" w:hAnsi="Arial" w:cs="Arial"/>
          <w:b w:val="0"/>
          <w:bCs w:val="0"/>
          <w:sz w:val="20"/>
          <w:szCs w:val="20"/>
        </w:rPr>
      </w:pPr>
      <w:r>
        <w:rPr>
          <w:noProof/>
        </w:rPr>
        <w:lastRenderedPageBreak/>
        <w:drawing>
          <wp:inline distT="0" distB="0" distL="0" distR="0" wp14:anchorId="1759FCE3" wp14:editId="5A1EB4C5">
            <wp:extent cx="5274310" cy="3322320"/>
            <wp:effectExtent l="0" t="0" r="2540" b="11430"/>
            <wp:docPr id="3" name="Gráfico 3">
              <a:extLst xmlns:a="http://schemas.openxmlformats.org/drawingml/2006/main">
                <a:ext uri="{FF2B5EF4-FFF2-40B4-BE49-F238E27FC236}">
                  <a16:creationId xmlns:a16="http://schemas.microsoft.com/office/drawing/2014/main" id="{9683E7C2-702C-4175-913D-121EF91BA1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E638E3" w14:textId="5821CBE8"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t xml:space="preserve">Otro dato que precisa que se observe de cerca es el del </w:t>
      </w:r>
      <w:r w:rsidRPr="00206442">
        <w:rPr>
          <w:rFonts w:ascii="Arial" w:hAnsi="Arial" w:cs="Arial"/>
          <w:b/>
          <w:bCs/>
          <w:sz w:val="20"/>
          <w:szCs w:val="20"/>
        </w:rPr>
        <w:t>incremento de los inactivos</w:t>
      </w:r>
      <w:r w:rsidRPr="0047055B">
        <w:rPr>
          <w:rFonts w:ascii="Arial" w:hAnsi="Arial" w:cs="Arial"/>
          <w:sz w:val="20"/>
          <w:szCs w:val="20"/>
        </w:rPr>
        <w:t>. Existen muchos desempleados, nuevos o de larga duración, que en estas circunstancias no han buscado empleo por necesidades de conciliación, por imposibilidad de ejecutarlo (su sector ha estado inactivo) o incluso por limitaciones físicas (restricciones de movilidad). Sea cual sea el motivo, durante el segundo trimestre hay</w:t>
      </w:r>
      <w:r w:rsidR="00B037B3">
        <w:rPr>
          <w:rFonts w:ascii="Arial" w:hAnsi="Arial" w:cs="Arial"/>
          <w:sz w:val="20"/>
          <w:szCs w:val="20"/>
        </w:rPr>
        <w:t xml:space="preserve"> </w:t>
      </w:r>
      <w:r w:rsidRPr="0047055B">
        <w:rPr>
          <w:rFonts w:ascii="Arial" w:hAnsi="Arial" w:cs="Arial"/>
          <w:sz w:val="20"/>
          <w:szCs w:val="20"/>
        </w:rPr>
        <w:t xml:space="preserve">un millón más de inactivos que los que había en el primero. </w:t>
      </w:r>
    </w:p>
    <w:p w14:paraId="5A4D84E1" w14:textId="0FE3D800" w:rsidR="0047055B" w:rsidRDefault="0047055B" w:rsidP="0047055B">
      <w:pPr>
        <w:spacing w:after="157" w:line="360" w:lineRule="auto"/>
        <w:jc w:val="center"/>
        <w:rPr>
          <w:rStyle w:val="Muydestacado"/>
          <w:rFonts w:ascii="Arial" w:hAnsi="Arial" w:cs="Arial"/>
          <w:b w:val="0"/>
          <w:bCs w:val="0"/>
          <w:sz w:val="20"/>
          <w:szCs w:val="20"/>
        </w:rPr>
      </w:pPr>
      <w:r>
        <w:rPr>
          <w:noProof/>
        </w:rPr>
        <w:drawing>
          <wp:inline distT="0" distB="0" distL="0" distR="0" wp14:anchorId="32E2325F" wp14:editId="2AB32D19">
            <wp:extent cx="5229225" cy="2867025"/>
            <wp:effectExtent l="0" t="0" r="9525" b="9525"/>
            <wp:docPr id="4" name="Gráfico 4">
              <a:extLst xmlns:a="http://schemas.openxmlformats.org/drawingml/2006/main">
                <a:ext uri="{FF2B5EF4-FFF2-40B4-BE49-F238E27FC236}">
                  <a16:creationId xmlns:a16="http://schemas.microsoft.com/office/drawing/2014/main" id="{9E47C51D-1451-4362-9FB3-F7B84C9D3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546B66" w14:textId="7113755E" w:rsidR="0047055B" w:rsidRDefault="0047055B" w:rsidP="008E0D95">
      <w:pPr>
        <w:spacing w:after="157" w:line="360" w:lineRule="auto"/>
        <w:rPr>
          <w:rStyle w:val="Muydestacado"/>
          <w:rFonts w:ascii="Arial" w:hAnsi="Arial" w:cs="Arial"/>
          <w:b w:val="0"/>
          <w:bCs w:val="0"/>
          <w:sz w:val="20"/>
          <w:szCs w:val="20"/>
        </w:rPr>
      </w:pPr>
    </w:p>
    <w:p w14:paraId="128A8958" w14:textId="67C3A18D" w:rsidR="0047055B" w:rsidRDefault="0047055B" w:rsidP="008E0D95">
      <w:pPr>
        <w:spacing w:after="157" w:line="360" w:lineRule="auto"/>
        <w:rPr>
          <w:rStyle w:val="Muydestacado"/>
          <w:rFonts w:ascii="Arial" w:hAnsi="Arial" w:cs="Arial"/>
          <w:b w:val="0"/>
          <w:bCs w:val="0"/>
          <w:sz w:val="20"/>
          <w:szCs w:val="20"/>
        </w:rPr>
      </w:pPr>
    </w:p>
    <w:p w14:paraId="25494BD3" w14:textId="755F48A3"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lastRenderedPageBreak/>
        <w:t xml:space="preserve">Por último, el INE ofrece otra variable que, probablemente, sea la que mejor haya medido el efecto de la pandemia en el mercado laboral durante este trimestre: las </w:t>
      </w:r>
      <w:r w:rsidRPr="00206442">
        <w:rPr>
          <w:rFonts w:ascii="Arial" w:hAnsi="Arial" w:cs="Arial"/>
          <w:b/>
          <w:bCs/>
          <w:sz w:val="20"/>
          <w:szCs w:val="20"/>
        </w:rPr>
        <w:t>horas de trabajo</w:t>
      </w:r>
      <w:r w:rsidRPr="0047055B">
        <w:rPr>
          <w:rFonts w:ascii="Arial" w:hAnsi="Arial" w:cs="Arial"/>
          <w:sz w:val="20"/>
          <w:szCs w:val="20"/>
        </w:rPr>
        <w:t xml:space="preserve"> ejecutadas por el conjunto de ocupados. En esta ocasión han sido un 22,6 % inferiores que el mismo trimestre de 2019. </w:t>
      </w:r>
    </w:p>
    <w:p w14:paraId="57197AFC" w14:textId="6F5CBEA5" w:rsidR="0047055B" w:rsidRDefault="0047055B" w:rsidP="008E0D95">
      <w:pPr>
        <w:spacing w:after="157" w:line="360" w:lineRule="auto"/>
        <w:rPr>
          <w:rStyle w:val="Muydestacado"/>
          <w:rFonts w:ascii="Arial" w:hAnsi="Arial" w:cs="Arial"/>
          <w:b w:val="0"/>
          <w:bCs w:val="0"/>
          <w:sz w:val="20"/>
          <w:szCs w:val="20"/>
        </w:rPr>
      </w:pPr>
      <w:r>
        <w:rPr>
          <w:noProof/>
        </w:rPr>
        <w:drawing>
          <wp:inline distT="0" distB="0" distL="0" distR="0" wp14:anchorId="10048F12" wp14:editId="6709BCBC">
            <wp:extent cx="5274310" cy="2919707"/>
            <wp:effectExtent l="0" t="0" r="2540" b="14605"/>
            <wp:docPr id="5" name="Gráfico 5">
              <a:extLst xmlns:a="http://schemas.openxmlformats.org/drawingml/2006/main">
                <a:ext uri="{FF2B5EF4-FFF2-40B4-BE49-F238E27FC236}">
                  <a16:creationId xmlns:a16="http://schemas.microsoft.com/office/drawing/2014/main" id="{DD06F5A6-5C51-445D-977C-A73B852EF7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F414DE" w14:textId="77777777"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t xml:space="preserve">El panorama, así contemplado, parece más completo: el impacto ha sido profundo (un descenso del 22,6 % en horas trabajadas), los ERTE han servido para mantener la ocupación de muchos trabajadores (3,4 millones de personas afectadas por paros parciales o regulaciones de empleo) y la situación general desincentiva la búsqueda de quienes no tienen empleo (un millón más de inactivos). </w:t>
      </w:r>
    </w:p>
    <w:p w14:paraId="2FD1882D" w14:textId="365355E4" w:rsidR="0047055B" w:rsidRPr="0047055B" w:rsidRDefault="0047055B" w:rsidP="0047055B">
      <w:pPr>
        <w:spacing w:before="100" w:beforeAutospacing="1" w:after="100" w:afterAutospacing="1" w:line="276" w:lineRule="auto"/>
        <w:rPr>
          <w:rFonts w:ascii="Arial" w:hAnsi="Arial" w:cs="Arial"/>
          <w:sz w:val="20"/>
          <w:szCs w:val="20"/>
        </w:rPr>
      </w:pPr>
      <w:r w:rsidRPr="0047055B">
        <w:rPr>
          <w:rFonts w:ascii="Arial" w:hAnsi="Arial" w:cs="Arial"/>
          <w:sz w:val="20"/>
          <w:szCs w:val="20"/>
        </w:rPr>
        <w:t>La cifra de ocupados sí que recoge la tímida reactivación turística de las últimas semanas de encuesta. En línea con esta información, los datos del portal de empleo Info</w:t>
      </w:r>
      <w:r w:rsidR="00B037B3">
        <w:rPr>
          <w:rFonts w:ascii="Arial" w:hAnsi="Arial" w:cs="Arial"/>
          <w:sz w:val="20"/>
          <w:szCs w:val="20"/>
        </w:rPr>
        <w:t>J</w:t>
      </w:r>
      <w:r w:rsidRPr="0047055B">
        <w:rPr>
          <w:rFonts w:ascii="Arial" w:hAnsi="Arial" w:cs="Arial"/>
          <w:sz w:val="20"/>
          <w:szCs w:val="20"/>
        </w:rPr>
        <w:t xml:space="preserve">obs del mes de junio muestran un repunte del 30 % en la publicación de ofertas con respecto a mayo, aunque la comparación con los datos de un año antes (junio de 2019) da pruebas de la magnitud del impacto: de 255.000 ofertas entonces se ha pasado a 107.000 ahora; un 58 % menos. </w:t>
      </w:r>
    </w:p>
    <w:p w14:paraId="4EFD013A" w14:textId="1462062F" w:rsidR="005213C9" w:rsidRPr="008E0D95" w:rsidRDefault="0047055B" w:rsidP="0047055B">
      <w:pPr>
        <w:spacing w:after="157" w:line="276" w:lineRule="auto"/>
        <w:rPr>
          <w:rFonts w:ascii="Arial" w:hAnsi="Arial" w:cs="Arial"/>
          <w:sz w:val="20"/>
          <w:szCs w:val="20"/>
        </w:rPr>
      </w:pPr>
      <w:r w:rsidRPr="0047055B">
        <w:rPr>
          <w:rFonts w:ascii="Arial" w:hAnsi="Arial" w:cs="Arial"/>
          <w:sz w:val="20"/>
          <w:szCs w:val="20"/>
        </w:rPr>
        <w:t>Ante este escenario, la evolución de estas variables principales (ocupación y desempleo) en la siguiente EPA puede casi anticiparse en función de cómo evolucione la situación sanitaria en las próximas semanas. La progresiva recuperación de la economía y del empleo dependerá, por tanto, de si somos capaces de mantener un cierto nivel de actividad sin nuevas recaídas. Un escenario de obligados parones periódicos sería mucho más problemático que un engranaje económico funcionando —aunque no sea a pleno rendimiento— de forma continuada y sin sobresaltos.</w:t>
      </w:r>
    </w:p>
    <w:p w14:paraId="3F9FAE23" w14:textId="77777777" w:rsidR="008E0D95" w:rsidRPr="00412194" w:rsidRDefault="008E0D95" w:rsidP="008E0D95">
      <w:pPr>
        <w:textDirection w:val="btLr"/>
        <w:rPr>
          <w:sz w:val="16"/>
          <w:szCs w:val="16"/>
        </w:rPr>
      </w:pPr>
      <w:r w:rsidRPr="00412194">
        <w:rPr>
          <w:rFonts w:ascii="Arial" w:eastAsia="Arial" w:hAnsi="Arial" w:cs="Arial"/>
          <w:b/>
          <w:color w:val="808080"/>
          <w:sz w:val="16"/>
          <w:szCs w:val="16"/>
          <w:u w:val="single"/>
        </w:rPr>
        <w:lastRenderedPageBreak/>
        <w:t>Sobre InfoJobs</w:t>
      </w:r>
    </w:p>
    <w:p w14:paraId="45A894E5"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r w:rsidRPr="000D309A">
        <w:rPr>
          <w:rFonts w:ascii="Arial" w:hAnsi="Arial" w:cs="Arial"/>
          <w:color w:val="808080" w:themeColor="background1" w:themeShade="80"/>
          <w:sz w:val="16"/>
          <w:szCs w:val="16"/>
        </w:rPr>
        <w:t>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r>
        <w:rPr>
          <w:rFonts w:ascii="Arial" w:hAnsi="Arial" w:cs="Arial"/>
          <w:color w:val="808080" w:themeColor="background1" w:themeShade="80"/>
          <w:sz w:val="16"/>
          <w:szCs w:val="16"/>
        </w:rPr>
        <w:t xml:space="preserve"> </w:t>
      </w:r>
    </w:p>
    <w:p w14:paraId="0FE2042F"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68F48D5B" w14:textId="6F64FA44" w:rsidR="008E0D95" w:rsidRPr="008E0D95" w:rsidRDefault="008E0D95" w:rsidP="008E0D95">
      <w:pPr>
        <w:pStyle w:val="NormalWeb"/>
        <w:shd w:val="clear" w:color="auto" w:fill="FFFFFF"/>
        <w:spacing w:before="0" w:beforeAutospacing="0" w:after="0" w:afterAutospacing="0"/>
        <w:ind w:right="-574"/>
        <w:jc w:val="both"/>
        <w:rPr>
          <w:rFonts w:ascii="Arial" w:eastAsia="Arial" w:hAnsi="Arial" w:cs="Arial"/>
          <w:bCs/>
          <w:color w:val="808080"/>
          <w:sz w:val="16"/>
          <w:szCs w:val="16"/>
        </w:rPr>
      </w:pPr>
      <w:r w:rsidRPr="008E0D95">
        <w:rPr>
          <w:rFonts w:ascii="Arial" w:eastAsia="Arial" w:hAnsi="Arial" w:cs="Arial"/>
          <w:bCs/>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11" w:history="1">
        <w:r w:rsidRPr="008E0D95">
          <w:rPr>
            <w:rFonts w:ascii="Arial" w:eastAsia="Arial" w:hAnsi="Arial" w:cs="Arial"/>
            <w:bCs/>
            <w:color w:val="808080"/>
            <w:sz w:val="16"/>
            <w:szCs w:val="16"/>
          </w:rPr>
          <w:t>Fotocasa</w:t>
        </w:r>
      </w:hyperlink>
      <w:r w:rsidRPr="008E0D95">
        <w:rPr>
          <w:rFonts w:ascii="Arial" w:eastAsia="Arial" w:hAnsi="Arial" w:cs="Arial"/>
          <w:bCs/>
          <w:color w:val="808080"/>
          <w:sz w:val="16"/>
          <w:szCs w:val="16"/>
        </w:rPr>
        <w:t xml:space="preserve"> y </w:t>
      </w:r>
      <w:hyperlink r:id="rId12" w:history="1">
        <w:r w:rsidRPr="008E0D95">
          <w:rPr>
            <w:rFonts w:ascii="Arial" w:eastAsia="Arial" w:hAnsi="Arial" w:cs="Arial"/>
            <w:bCs/>
            <w:color w:val="808080"/>
            <w:sz w:val="16"/>
            <w:szCs w:val="16"/>
          </w:rPr>
          <w:t>habitaclia</w:t>
        </w:r>
      </w:hyperlink>
      <w:r w:rsidRPr="008E0D95">
        <w:rPr>
          <w:rFonts w:ascii="Arial" w:eastAsia="Arial" w:hAnsi="Arial" w:cs="Arial"/>
          <w:bCs/>
          <w:color w:val="808080"/>
          <w:sz w:val="16"/>
          <w:szCs w:val="16"/>
        </w:rPr>
        <w:t>), empleo (</w:t>
      </w:r>
      <w:hyperlink r:id="rId13" w:history="1">
        <w:r w:rsidRPr="008E0D95">
          <w:rPr>
            <w:rFonts w:ascii="Arial" w:eastAsia="Arial" w:hAnsi="Arial" w:cs="Arial"/>
            <w:bCs/>
            <w:color w:val="808080"/>
            <w:sz w:val="16"/>
            <w:szCs w:val="16"/>
          </w:rPr>
          <w:t>InfoJobs</w:t>
        </w:r>
      </w:hyperlink>
      <w:r w:rsidRPr="008E0D95">
        <w:rPr>
          <w:rFonts w:ascii="Arial" w:eastAsia="Arial" w:hAnsi="Arial" w:cs="Arial"/>
          <w:bCs/>
          <w:color w:val="808080"/>
          <w:sz w:val="16"/>
          <w:szCs w:val="16"/>
        </w:rPr>
        <w:t>), motor (</w:t>
      </w:r>
      <w:hyperlink r:id="rId14" w:history="1">
        <w:r w:rsidRPr="008E0D95">
          <w:rPr>
            <w:rFonts w:ascii="Arial" w:eastAsia="Arial" w:hAnsi="Arial" w:cs="Arial"/>
            <w:bCs/>
            <w:color w:val="808080"/>
            <w:sz w:val="16"/>
            <w:szCs w:val="16"/>
          </w:rPr>
          <w:t>coches.net</w:t>
        </w:r>
      </w:hyperlink>
      <w:r w:rsidRPr="008E0D95">
        <w:rPr>
          <w:rFonts w:ascii="Arial" w:eastAsia="Arial" w:hAnsi="Arial" w:cs="Arial"/>
          <w:bCs/>
          <w:color w:val="808080"/>
          <w:sz w:val="16"/>
          <w:szCs w:val="16"/>
        </w:rPr>
        <w:t xml:space="preserve"> y </w:t>
      </w:r>
      <w:hyperlink r:id="rId15" w:history="1">
        <w:r w:rsidRPr="008E0D95">
          <w:rPr>
            <w:rFonts w:ascii="Arial" w:eastAsia="Arial" w:hAnsi="Arial" w:cs="Arial"/>
            <w:bCs/>
            <w:color w:val="808080"/>
            <w:sz w:val="16"/>
            <w:szCs w:val="16"/>
          </w:rPr>
          <w:t>motos.net</w:t>
        </w:r>
      </w:hyperlink>
      <w:r w:rsidRPr="008E0D95">
        <w:rPr>
          <w:rFonts w:ascii="Arial" w:eastAsia="Arial" w:hAnsi="Arial" w:cs="Arial"/>
          <w:bCs/>
          <w:color w:val="808080"/>
          <w:sz w:val="16"/>
          <w:szCs w:val="16"/>
        </w:rPr>
        <w:t>) y compraventa de artículos de segunda mano (</w:t>
      </w:r>
      <w:hyperlink r:id="rId16" w:history="1">
        <w:r w:rsidRPr="008E0D95">
          <w:rPr>
            <w:rFonts w:ascii="Arial" w:eastAsia="Arial" w:hAnsi="Arial" w:cs="Arial"/>
            <w:bCs/>
            <w:color w:val="808080"/>
            <w:sz w:val="16"/>
            <w:szCs w:val="16"/>
          </w:rPr>
          <w:t>Milanuncios</w:t>
        </w:r>
      </w:hyperlink>
      <w:r w:rsidRPr="008E0D95">
        <w:rPr>
          <w:rFonts w:ascii="Arial" w:eastAsia="Arial" w:hAnsi="Arial" w:cs="Arial"/>
          <w:bCs/>
          <w:color w:val="808080"/>
          <w:sz w:val="16"/>
          <w:szCs w:val="16"/>
        </w:rPr>
        <w:t xml:space="preserve"> y </w:t>
      </w:r>
      <w:hyperlink r:id="rId17" w:history="1">
        <w:r w:rsidRPr="008E0D95">
          <w:rPr>
            <w:rFonts w:ascii="Arial" w:eastAsia="Arial" w:hAnsi="Arial" w:cs="Arial"/>
            <w:bCs/>
            <w:color w:val="808080"/>
            <w:sz w:val="16"/>
            <w:szCs w:val="16"/>
          </w:rPr>
          <w:t>vibbo</w:t>
        </w:r>
      </w:hyperlink>
      <w:r w:rsidRPr="008E0D95">
        <w:rPr>
          <w:rFonts w:ascii="Arial" w:eastAsia="Arial" w:hAnsi="Arial" w:cs="Arial"/>
          <w:bCs/>
          <w:color w:val="808080"/>
          <w:sz w:val="16"/>
          <w:szCs w:val="16"/>
        </w:rPr>
        <w:t>).</w:t>
      </w:r>
    </w:p>
    <w:p w14:paraId="08DFD213" w14:textId="37B35FBB" w:rsidR="008E0D95" w:rsidRPr="008E0D95" w:rsidRDefault="008E0D95" w:rsidP="008E0D95">
      <w:pPr>
        <w:rPr>
          <w:rFonts w:ascii="Arial" w:eastAsia="Arial" w:hAnsi="Arial" w:cs="Arial"/>
          <w:bCs/>
          <w:color w:val="808080"/>
          <w:sz w:val="16"/>
          <w:szCs w:val="16"/>
        </w:rPr>
      </w:pPr>
      <w:r w:rsidRPr="008E0D95">
        <w:rPr>
          <w:rFonts w:ascii="Arial" w:eastAsia="Arial" w:hAnsi="Arial" w:cs="Arial"/>
          <w:bCs/>
          <w:color w:val="808080"/>
          <w:sz w:val="16"/>
          <w:szCs w:val="16"/>
        </w:rPr>
        <w:t>Adevinta en España, antes Schibsted Spain, cuenta con una plantilla de más de 1.100 empleados. Además de en España, Adevinta tiene presencia en 14 países más de Europa, América Latina y África del Norte. El conjunto de sus plataformas locales recibe un promedio de 1.500 millones de visitas cada mes. </w:t>
      </w:r>
    </w:p>
    <w:p w14:paraId="0D8AD99A" w14:textId="77777777" w:rsidR="008E0D95" w:rsidRPr="008E0D95" w:rsidRDefault="008E0D95" w:rsidP="008E0D95">
      <w:pPr>
        <w:rPr>
          <w:rFonts w:ascii="Arial" w:eastAsia="Arial" w:hAnsi="Arial" w:cs="Arial"/>
          <w:bCs/>
          <w:color w:val="808080"/>
          <w:sz w:val="16"/>
          <w:szCs w:val="16"/>
          <w:lang w:eastAsia="es-ES_tradnl"/>
        </w:rPr>
      </w:pPr>
      <w:r w:rsidRPr="008E0D95">
        <w:rPr>
          <w:rFonts w:ascii="Arial" w:eastAsia="Arial" w:hAnsi="Arial" w:cs="Arial"/>
          <w:bCs/>
          <w:color w:val="808080"/>
          <w:sz w:val="16"/>
          <w:szCs w:val="16"/>
        </w:rPr>
        <w:t xml:space="preserve">Más información en </w:t>
      </w:r>
      <w:hyperlink r:id="rId18" w:history="1">
        <w:r w:rsidRPr="008E0D95">
          <w:rPr>
            <w:rFonts w:ascii="Arial" w:eastAsia="Arial" w:hAnsi="Arial" w:cs="Arial"/>
            <w:bCs/>
            <w:color w:val="808080"/>
            <w:sz w:val="16"/>
            <w:szCs w:val="16"/>
            <w:lang w:eastAsia="es-ES_tradnl"/>
          </w:rPr>
          <w:t>adevinta.es</w:t>
        </w:r>
      </w:hyperlink>
    </w:p>
    <w:p w14:paraId="65BCF569" w14:textId="77777777" w:rsidR="008E0D95" w:rsidRDefault="008E0D95" w:rsidP="008E0D95">
      <w:pPr>
        <w:pStyle w:val="NormalWeb"/>
        <w:shd w:val="clear" w:color="auto" w:fill="FFFFFF"/>
        <w:spacing w:before="0" w:beforeAutospacing="0" w:after="0" w:afterAutospacing="0"/>
        <w:ind w:right="-574"/>
        <w:jc w:val="both"/>
        <w:rPr>
          <w:rFonts w:ascii="Arial" w:hAnsi="Arial" w:cs="Arial"/>
          <w:color w:val="808080" w:themeColor="background1" w:themeShade="80"/>
          <w:sz w:val="16"/>
          <w:szCs w:val="16"/>
        </w:rPr>
      </w:pPr>
    </w:p>
    <w:p w14:paraId="1D1FAB11" w14:textId="77777777" w:rsidR="008E0D95" w:rsidRPr="001B6CF3" w:rsidRDefault="008E0D95" w:rsidP="008E0D95">
      <w:pPr>
        <w:rPr>
          <w:rFonts w:ascii="Arial" w:eastAsia="Arial" w:hAnsi="Arial" w:cs="Arial"/>
          <w:color w:val="7F7F7F"/>
          <w:sz w:val="18"/>
          <w:szCs w:val="18"/>
        </w:rPr>
      </w:pPr>
      <w:r w:rsidRPr="001B6CF3">
        <w:rPr>
          <w:rFonts w:ascii="Arial" w:eastAsia="Arial" w:hAnsi="Arial" w:cs="Arial"/>
          <w:b/>
          <w:color w:val="7F7F7F"/>
          <w:sz w:val="18"/>
          <w:szCs w:val="18"/>
          <w:u w:val="single"/>
        </w:rPr>
        <w:t>Contacto</w:t>
      </w:r>
      <w:r w:rsidRPr="001B6CF3">
        <w:rPr>
          <w:rFonts w:ascii="Arial" w:eastAsia="Arial" w:hAnsi="Arial" w:cs="Arial"/>
          <w:color w:val="7F7F7F"/>
          <w:sz w:val="18"/>
          <w:szCs w:val="18"/>
        </w:rPr>
        <w:t>:</w:t>
      </w:r>
    </w:p>
    <w:p w14:paraId="62F2708F" w14:textId="48DA3DE7" w:rsidR="008E0D95" w:rsidRPr="001B6CF3" w:rsidRDefault="008E0D95" w:rsidP="008E0D95">
      <w:pPr>
        <w:pBdr>
          <w:top w:val="nil"/>
          <w:left w:val="nil"/>
          <w:bottom w:val="nil"/>
          <w:right w:val="nil"/>
          <w:between w:val="nil"/>
        </w:pBdr>
        <w:rPr>
          <w:rFonts w:ascii="Arial" w:eastAsia="Arial" w:hAnsi="Arial" w:cs="Arial"/>
          <w:color w:val="808080"/>
          <w:sz w:val="18"/>
          <w:szCs w:val="18"/>
        </w:rPr>
      </w:pPr>
      <w:r w:rsidRPr="001B6CF3">
        <w:rPr>
          <w:rFonts w:ascii="Arial" w:eastAsia="Arial" w:hAnsi="Arial" w:cs="Arial"/>
          <w:b/>
          <w:color w:val="7F7F7F"/>
          <w:sz w:val="18"/>
          <w:szCs w:val="18"/>
        </w:rPr>
        <w:t>Evercom</w:t>
      </w:r>
      <w:r w:rsidRPr="001B6CF3">
        <w:rPr>
          <w:rFonts w:ascii="Arial" w:eastAsia="Arial" w:hAnsi="Arial" w:cs="Arial"/>
          <w:color w:val="7F7F7F"/>
          <w:sz w:val="18"/>
          <w:szCs w:val="18"/>
        </w:rPr>
        <w:t xml:space="preserve">: </w:t>
      </w:r>
      <w:r w:rsidR="00BE4392">
        <w:rPr>
          <w:rFonts w:ascii="Arial" w:eastAsia="Arial" w:hAnsi="Arial" w:cs="Arial"/>
          <w:color w:val="7F7F7F"/>
          <w:sz w:val="18"/>
          <w:szCs w:val="18"/>
        </w:rPr>
        <w:t>Marta Sevilla</w:t>
      </w:r>
      <w:r w:rsidRPr="001B6CF3">
        <w:rPr>
          <w:rFonts w:ascii="Arial" w:eastAsia="Arial" w:hAnsi="Arial" w:cs="Arial"/>
          <w:color w:val="7F7F7F"/>
          <w:sz w:val="18"/>
          <w:szCs w:val="18"/>
        </w:rPr>
        <w:t xml:space="preserve"> / Xènia Gallego </w:t>
      </w:r>
    </w:p>
    <w:p w14:paraId="09D4FF6F" w14:textId="77777777" w:rsidR="008E0D95" w:rsidRPr="001B6CF3" w:rsidRDefault="00604F42" w:rsidP="008E0D95">
      <w:pPr>
        <w:rPr>
          <w:rFonts w:ascii="Arial" w:eastAsia="Arial" w:hAnsi="Arial" w:cs="Arial"/>
          <w:sz w:val="20"/>
          <w:szCs w:val="20"/>
          <w:highlight w:val="white"/>
        </w:rPr>
      </w:pPr>
      <w:hyperlink r:id="rId19">
        <w:r w:rsidR="008E0D95" w:rsidRPr="001B6CF3">
          <w:rPr>
            <w:rFonts w:ascii="Arial" w:eastAsia="Arial" w:hAnsi="Arial" w:cs="Arial"/>
            <w:b/>
            <w:color w:val="0070C0"/>
            <w:sz w:val="18"/>
            <w:szCs w:val="18"/>
          </w:rPr>
          <w:t>infojobs@evercom.es</w:t>
        </w:r>
      </w:hyperlink>
      <w:r w:rsidR="008E0D95" w:rsidRPr="001B6CF3">
        <w:rPr>
          <w:rFonts w:ascii="Calibri" w:eastAsia="Calibri" w:hAnsi="Calibri" w:cs="Calibri"/>
          <w:color w:val="0070C0"/>
          <w:sz w:val="18"/>
          <w:szCs w:val="18"/>
          <w:u w:val="single"/>
        </w:rPr>
        <w:t xml:space="preserve"> </w:t>
      </w:r>
      <w:r w:rsidR="008E0D95" w:rsidRPr="001B6CF3">
        <w:rPr>
          <w:rFonts w:ascii="Arial" w:eastAsia="Arial" w:hAnsi="Arial" w:cs="Arial"/>
          <w:color w:val="0070C0"/>
          <w:sz w:val="18"/>
          <w:szCs w:val="18"/>
        </w:rPr>
        <w:t xml:space="preserve"> </w:t>
      </w:r>
    </w:p>
    <w:p w14:paraId="4B5804DD" w14:textId="77777777" w:rsidR="008E0D95" w:rsidRDefault="008E0D95" w:rsidP="008E0D95">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808080"/>
          <w:sz w:val="16"/>
          <w:szCs w:val="16"/>
        </w:rPr>
      </w:pPr>
      <w:r w:rsidRPr="00412194">
        <w:rPr>
          <w:rFonts w:ascii="Arial" w:eastAsia="Arial" w:hAnsi="Arial" w:cs="Arial"/>
          <w:color w:val="7F7F7F"/>
          <w:sz w:val="18"/>
          <w:szCs w:val="18"/>
        </w:rPr>
        <w:t xml:space="preserve">T. 93 415 37 05 / </w:t>
      </w:r>
      <w:r>
        <w:rPr>
          <w:rFonts w:ascii="Arial" w:eastAsia="Arial" w:hAnsi="Arial" w:cs="Arial"/>
          <w:color w:val="7F7F7F"/>
          <w:sz w:val="18"/>
          <w:szCs w:val="18"/>
        </w:rPr>
        <w:t>676 86 98 56</w:t>
      </w:r>
    </w:p>
    <w:p w14:paraId="0ABF6D54" w14:textId="77777777" w:rsidR="008E0D95" w:rsidRPr="00412194" w:rsidRDefault="008E0D95" w:rsidP="008E0D95">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7F7F7F"/>
          <w:sz w:val="18"/>
          <w:szCs w:val="18"/>
        </w:rPr>
      </w:pPr>
    </w:p>
    <w:p w14:paraId="3199CA8D" w14:textId="77777777" w:rsidR="005213C9" w:rsidRPr="008E0D95" w:rsidRDefault="005213C9" w:rsidP="008E0D95">
      <w:pPr>
        <w:spacing w:after="157" w:line="360" w:lineRule="auto"/>
        <w:rPr>
          <w:rFonts w:ascii="Arial" w:hAnsi="Arial" w:cs="Arial"/>
          <w:sz w:val="20"/>
          <w:szCs w:val="20"/>
        </w:rPr>
      </w:pPr>
    </w:p>
    <w:p w14:paraId="73FC508C" w14:textId="77777777" w:rsidR="005213C9" w:rsidRPr="008E0D95" w:rsidRDefault="005213C9" w:rsidP="008E0D95">
      <w:pPr>
        <w:spacing w:after="157" w:line="360" w:lineRule="auto"/>
        <w:rPr>
          <w:rFonts w:ascii="Arial" w:hAnsi="Arial" w:cs="Arial"/>
          <w:sz w:val="20"/>
          <w:szCs w:val="20"/>
        </w:rPr>
      </w:pPr>
    </w:p>
    <w:sectPr w:rsidR="005213C9" w:rsidRPr="008E0D95">
      <w:headerReference w:type="default" r:id="rId20"/>
      <w:pgSz w:w="11906" w:h="16838"/>
      <w:pgMar w:top="1440" w:right="1800" w:bottom="1440" w:left="1800" w:header="0" w:footer="0"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C466" w14:textId="77777777" w:rsidR="008E0D95" w:rsidRDefault="008E0D95" w:rsidP="008E0D95">
      <w:r>
        <w:separator/>
      </w:r>
    </w:p>
  </w:endnote>
  <w:endnote w:type="continuationSeparator" w:id="0">
    <w:p w14:paraId="14892E5A" w14:textId="77777777" w:rsidR="008E0D95" w:rsidRDefault="008E0D95" w:rsidP="008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auto"/>
    <w:pitch w:val="default"/>
  </w:font>
  <w:font w:name="Arimo">
    <w:charset w:val="00"/>
    <w:family w:val="auto"/>
    <w:pitch w:val="default"/>
  </w:font>
  <w:font w:name="OpenSymbol">
    <w:altName w:val="Cambria"/>
    <w:charset w:val="01"/>
    <w:family w:val="roman"/>
    <w:pitch w:val="variable"/>
  </w:font>
  <w:font w:name="Liberation Sans">
    <w:charset w:val="01"/>
    <w:family w:val="roman"/>
    <w:pitch w:val="variable"/>
  </w:font>
  <w:font w:name="Noto Sans CJK SC Regular">
    <w:panose1 w:val="00000000000000000000"/>
    <w:charset w:val="00"/>
    <w:family w:val="roman"/>
    <w:notTrueType/>
    <w:pitch w:val="default"/>
  </w:font>
  <w:font w:name="FreeSans">
    <w:altName w:val="Times New Roman"/>
    <w:charset w:val="00"/>
    <w:family w:val="auto"/>
    <w:pitch w:val="default"/>
    <w:sig w:usb0="E4839EFF" w:usb1="4600FDFF" w:usb2="000030A0" w:usb3="00000584" w:csb0="600001BF" w:csb1="DFF7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43518" w14:textId="77777777" w:rsidR="008E0D95" w:rsidRDefault="008E0D95" w:rsidP="008E0D95">
      <w:r>
        <w:separator/>
      </w:r>
    </w:p>
  </w:footnote>
  <w:footnote w:type="continuationSeparator" w:id="0">
    <w:p w14:paraId="70676857" w14:textId="77777777" w:rsidR="008E0D95" w:rsidRDefault="008E0D95" w:rsidP="008E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9D10F" w14:textId="71A471D8" w:rsidR="008E0D95" w:rsidRDefault="008E0D95">
    <w:pPr>
      <w:pStyle w:val="Encabezado"/>
    </w:pPr>
    <w:r>
      <w:rPr>
        <w:noProof/>
      </w:rPr>
      <w:drawing>
        <wp:anchor distT="0" distB="0" distL="114300" distR="114300" simplePos="0" relativeHeight="251659264" behindDoc="0" locked="0" layoutInCell="1" allowOverlap="1" wp14:anchorId="27274BCB" wp14:editId="1495ABE3">
          <wp:simplePos x="0" y="0"/>
          <wp:positionH relativeFrom="column">
            <wp:posOffset>-647700</wp:posOffset>
          </wp:positionH>
          <wp:positionV relativeFrom="paragraph">
            <wp:posOffset>161925</wp:posOffset>
          </wp:positionV>
          <wp:extent cx="1732915" cy="752475"/>
          <wp:effectExtent l="0" t="0" r="0" b="0"/>
          <wp:wrapSquare wrapText="bothSides"/>
          <wp:docPr id="2" name="Imagen 2" descr="ij-logo_default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j-logo_default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58240" behindDoc="0" locked="0" layoutInCell="1" allowOverlap="1" wp14:anchorId="2D801EB8" wp14:editId="5415DB9B">
          <wp:simplePos x="0" y="0"/>
          <wp:positionH relativeFrom="page">
            <wp:posOffset>6520180</wp:posOffset>
          </wp:positionH>
          <wp:positionV relativeFrom="page">
            <wp:posOffset>0</wp:posOffset>
          </wp:positionV>
          <wp:extent cx="643255" cy="638175"/>
          <wp:effectExtent l="0" t="0" r="0" b="9525"/>
          <wp:wrapThrough wrapText="bothSides">
            <wp:wrapPolygon edited="0">
              <wp:start x="3838" y="0"/>
              <wp:lineTo x="1279" y="21278"/>
              <wp:lineTo x="15352" y="21278"/>
              <wp:lineTo x="15992" y="20633"/>
              <wp:lineTo x="18551" y="0"/>
              <wp:lineTo x="3838"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25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714B4"/>
    <w:multiLevelType w:val="hybridMultilevel"/>
    <w:tmpl w:val="A56C9626"/>
    <w:lvl w:ilvl="0" w:tplc="3AE0238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812B62"/>
    <w:multiLevelType w:val="multilevel"/>
    <w:tmpl w:val="16844678"/>
    <w:lvl w:ilvl="0">
      <w:start w:val="1"/>
      <w:numFmt w:val="bullet"/>
      <w:lvlText w:val="-"/>
      <w:lvlJc w:val="left"/>
      <w:pPr>
        <w:ind w:left="283" w:hanging="283"/>
      </w:pPr>
      <w:rPr>
        <w:rFonts w:ascii="Helvetica Neue" w:eastAsia="Helvetica Neue" w:hAnsi="Helvetica Neue" w:cs="Helvetica Neue"/>
        <w:b w:val="0"/>
        <w:i w:val="0"/>
        <w:smallCaps w:val="0"/>
        <w:strike w:val="0"/>
        <w:shd w:val="clear" w:color="auto" w:fill="auto"/>
        <w:vertAlign w:val="baseline"/>
      </w:rPr>
    </w:lvl>
    <w:lvl w:ilvl="1">
      <w:start w:val="1"/>
      <w:numFmt w:val="bullet"/>
      <w:lvlText w:val="o"/>
      <w:lvlJc w:val="left"/>
      <w:pPr>
        <w:ind w:left="1512" w:hanging="432"/>
      </w:pPr>
      <w:rPr>
        <w:rFonts w:ascii="Helvetica Neue" w:eastAsia="Helvetica Neue" w:hAnsi="Helvetica Neue" w:cs="Helvetica Neue"/>
        <w:b w:val="0"/>
        <w:i w:val="0"/>
        <w:smallCaps w:val="0"/>
        <w:strike w:val="0"/>
        <w:shd w:val="clear" w:color="auto" w:fill="auto"/>
        <w:vertAlign w:val="baseline"/>
      </w:rPr>
    </w:lvl>
    <w:lvl w:ilvl="2">
      <w:start w:val="1"/>
      <w:numFmt w:val="bullet"/>
      <w:lvlText w:val="▪"/>
      <w:lvlJc w:val="left"/>
      <w:pPr>
        <w:ind w:left="223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952" w:hanging="432"/>
      </w:pPr>
      <w:rPr>
        <w:rFonts w:ascii="Helvetica Neue" w:eastAsia="Helvetica Neue" w:hAnsi="Helvetica Neue" w:cs="Helvetica Neue"/>
        <w:b w:val="0"/>
        <w:i w:val="0"/>
        <w:smallCaps w:val="0"/>
        <w:strike w:val="0"/>
        <w:shd w:val="clear" w:color="auto" w:fill="auto"/>
        <w:vertAlign w:val="baseline"/>
      </w:rPr>
    </w:lvl>
    <w:lvl w:ilvl="4">
      <w:start w:val="1"/>
      <w:numFmt w:val="bullet"/>
      <w:lvlText w:val="o"/>
      <w:lvlJc w:val="left"/>
      <w:pPr>
        <w:ind w:left="3672" w:hanging="432"/>
      </w:pPr>
      <w:rPr>
        <w:rFonts w:ascii="Helvetica Neue" w:eastAsia="Helvetica Neue" w:hAnsi="Helvetica Neue" w:cs="Helvetica Neue"/>
        <w:b w:val="0"/>
        <w:i w:val="0"/>
        <w:smallCaps w:val="0"/>
        <w:strike w:val="0"/>
        <w:shd w:val="clear" w:color="auto" w:fill="auto"/>
        <w:vertAlign w:val="baseline"/>
      </w:rPr>
    </w:lvl>
    <w:lvl w:ilvl="5">
      <w:start w:val="1"/>
      <w:numFmt w:val="bullet"/>
      <w:lvlText w:val="▪"/>
      <w:lvlJc w:val="left"/>
      <w:pPr>
        <w:ind w:left="439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5112" w:hanging="432"/>
      </w:pPr>
      <w:rPr>
        <w:rFonts w:ascii="Helvetica Neue" w:eastAsia="Helvetica Neue" w:hAnsi="Helvetica Neue" w:cs="Helvetica Neue"/>
        <w:b w:val="0"/>
        <w:i w:val="0"/>
        <w:smallCaps w:val="0"/>
        <w:strike w:val="0"/>
        <w:shd w:val="clear" w:color="auto" w:fill="auto"/>
        <w:vertAlign w:val="baseline"/>
      </w:rPr>
    </w:lvl>
    <w:lvl w:ilvl="7">
      <w:start w:val="1"/>
      <w:numFmt w:val="bullet"/>
      <w:lvlText w:val="o"/>
      <w:lvlJc w:val="left"/>
      <w:pPr>
        <w:ind w:left="5832" w:hanging="432"/>
      </w:pPr>
      <w:rPr>
        <w:rFonts w:ascii="Helvetica Neue" w:eastAsia="Helvetica Neue" w:hAnsi="Helvetica Neue" w:cs="Helvetica Neue"/>
        <w:b w:val="0"/>
        <w:i w:val="0"/>
        <w:smallCaps w:val="0"/>
        <w:strike w:val="0"/>
        <w:shd w:val="clear" w:color="auto" w:fill="auto"/>
        <w:vertAlign w:val="baseline"/>
      </w:rPr>
    </w:lvl>
    <w:lvl w:ilvl="8">
      <w:start w:val="1"/>
      <w:numFmt w:val="bullet"/>
      <w:lvlText w:val="▪"/>
      <w:lvlJc w:val="left"/>
      <w:pPr>
        <w:ind w:left="655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51D9498B"/>
    <w:multiLevelType w:val="hybridMultilevel"/>
    <w:tmpl w:val="56403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3C9"/>
    <w:rsid w:val="00042746"/>
    <w:rsid w:val="00046AD9"/>
    <w:rsid w:val="00055948"/>
    <w:rsid w:val="00105739"/>
    <w:rsid w:val="0019509B"/>
    <w:rsid w:val="001C1A5A"/>
    <w:rsid w:val="001E3377"/>
    <w:rsid w:val="00206442"/>
    <w:rsid w:val="002513B3"/>
    <w:rsid w:val="002D26E9"/>
    <w:rsid w:val="0047055B"/>
    <w:rsid w:val="004934F7"/>
    <w:rsid w:val="005213C9"/>
    <w:rsid w:val="005D3292"/>
    <w:rsid w:val="00603FB8"/>
    <w:rsid w:val="00604F42"/>
    <w:rsid w:val="00612D90"/>
    <w:rsid w:val="00615246"/>
    <w:rsid w:val="006623BD"/>
    <w:rsid w:val="006B3FFF"/>
    <w:rsid w:val="00872D70"/>
    <w:rsid w:val="008E0D95"/>
    <w:rsid w:val="00A932AE"/>
    <w:rsid w:val="00AE358F"/>
    <w:rsid w:val="00B015ED"/>
    <w:rsid w:val="00B037B3"/>
    <w:rsid w:val="00B73C27"/>
    <w:rsid w:val="00BE4392"/>
    <w:rsid w:val="00CA2FA5"/>
    <w:rsid w:val="00ED3285"/>
    <w:rsid w:val="00F06CB7"/>
    <w:rsid w:val="00F5220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F5AC6"/>
  <w15:docId w15:val="{30E15B58-44E2-46CB-9FBF-ED478DBB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 w:eastAsia="zh-CN"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color w:val="00000A"/>
      <w:sz w:val="21"/>
      <w:szCs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EnlacedeInternet">
    <w:name w:val="Enlace de Internet"/>
    <w:rPr>
      <w:color w:val="000080"/>
      <w:u w:val="single"/>
    </w:rPr>
  </w:style>
  <w:style w:type="character" w:customStyle="1" w:styleId="Muydestacado">
    <w:name w:val="Muy destacado"/>
    <w:qFormat/>
    <w:rPr>
      <w:b/>
      <w:bCs/>
    </w:rPr>
  </w:style>
  <w:style w:type="paragraph" w:styleId="Ttulo">
    <w:name w:val="Title"/>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rPr>
  </w:style>
  <w:style w:type="paragraph" w:customStyle="1" w:styleId="ndice">
    <w:name w:val="Índice"/>
    <w:basedOn w:val="Normal"/>
    <w:qFormat/>
    <w:pPr>
      <w:suppressLineNumbers/>
    </w:pPr>
    <w:rPr>
      <w:rFonts w:cs="FreeSans"/>
    </w:rPr>
  </w:style>
  <w:style w:type="character" w:styleId="Hipervnculo">
    <w:name w:val="Hyperlink"/>
    <w:basedOn w:val="Fuentedeprrafopredeter"/>
    <w:rsid w:val="00615246"/>
    <w:rPr>
      <w:color w:val="0563C1" w:themeColor="hyperlink"/>
      <w:u w:val="single"/>
    </w:rPr>
  </w:style>
  <w:style w:type="character" w:styleId="Mencinsinresolver">
    <w:name w:val="Unresolved Mention"/>
    <w:basedOn w:val="Fuentedeprrafopredeter"/>
    <w:uiPriority w:val="99"/>
    <w:semiHidden/>
    <w:unhideWhenUsed/>
    <w:rsid w:val="00615246"/>
    <w:rPr>
      <w:color w:val="605E5C"/>
      <w:shd w:val="clear" w:color="auto" w:fill="E1DFDD"/>
    </w:rPr>
  </w:style>
  <w:style w:type="paragraph" w:styleId="Prrafodelista">
    <w:name w:val="List Paragraph"/>
    <w:basedOn w:val="Normal"/>
    <w:uiPriority w:val="99"/>
    <w:rsid w:val="00615246"/>
    <w:pPr>
      <w:ind w:left="720"/>
      <w:contextualSpacing/>
    </w:pPr>
  </w:style>
  <w:style w:type="paragraph" w:styleId="Encabezado">
    <w:name w:val="header"/>
    <w:basedOn w:val="Normal"/>
    <w:link w:val="EncabezadoCar"/>
    <w:rsid w:val="008E0D95"/>
    <w:pPr>
      <w:tabs>
        <w:tab w:val="center" w:pos="4252"/>
        <w:tab w:val="right" w:pos="8504"/>
      </w:tabs>
    </w:pPr>
  </w:style>
  <w:style w:type="character" w:customStyle="1" w:styleId="EncabezadoCar">
    <w:name w:val="Encabezado Car"/>
    <w:basedOn w:val="Fuentedeprrafopredeter"/>
    <w:link w:val="Encabezado"/>
    <w:rsid w:val="008E0D95"/>
    <w:rPr>
      <w:color w:val="00000A"/>
      <w:sz w:val="21"/>
      <w:szCs w:val="24"/>
      <w:lang w:bidi="ar-SA"/>
    </w:rPr>
  </w:style>
  <w:style w:type="paragraph" w:styleId="Piedepgina">
    <w:name w:val="footer"/>
    <w:basedOn w:val="Normal"/>
    <w:link w:val="PiedepginaCar"/>
    <w:rsid w:val="008E0D95"/>
    <w:pPr>
      <w:tabs>
        <w:tab w:val="center" w:pos="4252"/>
        <w:tab w:val="right" w:pos="8504"/>
      </w:tabs>
    </w:pPr>
  </w:style>
  <w:style w:type="character" w:customStyle="1" w:styleId="PiedepginaCar">
    <w:name w:val="Pie de página Car"/>
    <w:basedOn w:val="Fuentedeprrafopredeter"/>
    <w:link w:val="Piedepgina"/>
    <w:rsid w:val="008E0D95"/>
    <w:rPr>
      <w:color w:val="00000A"/>
      <w:sz w:val="21"/>
      <w:szCs w:val="24"/>
      <w:lang w:bidi="ar-SA"/>
    </w:rPr>
  </w:style>
  <w:style w:type="paragraph" w:styleId="NormalWeb">
    <w:name w:val="Normal (Web)"/>
    <w:basedOn w:val="Normal"/>
    <w:uiPriority w:val="99"/>
    <w:unhideWhenUsed/>
    <w:rsid w:val="008E0D95"/>
    <w:pPr>
      <w:widowControl/>
      <w:spacing w:before="100" w:beforeAutospacing="1" w:after="100" w:afterAutospacing="1"/>
      <w:jc w:val="left"/>
    </w:pPr>
    <w:rPr>
      <w:rFonts w:ascii="Times New Roman" w:eastAsia="Times New Roman" w:hAnsi="Times New Roman" w:cs="Times New Roman"/>
      <w:color w:val="auto"/>
      <w:sz w:val="24"/>
      <w:lang w:eastAsia="es-ES_tradnl"/>
    </w:rPr>
  </w:style>
  <w:style w:type="character" w:styleId="Refdecomentario">
    <w:name w:val="annotation reference"/>
    <w:basedOn w:val="Fuentedeprrafopredeter"/>
    <w:rsid w:val="00BE4392"/>
    <w:rPr>
      <w:sz w:val="16"/>
      <w:szCs w:val="16"/>
    </w:rPr>
  </w:style>
  <w:style w:type="paragraph" w:styleId="Textocomentario">
    <w:name w:val="annotation text"/>
    <w:basedOn w:val="Normal"/>
    <w:link w:val="TextocomentarioCar"/>
    <w:rsid w:val="00BE4392"/>
    <w:rPr>
      <w:sz w:val="20"/>
      <w:szCs w:val="20"/>
    </w:rPr>
  </w:style>
  <w:style w:type="character" w:customStyle="1" w:styleId="TextocomentarioCar">
    <w:name w:val="Texto comentario Car"/>
    <w:basedOn w:val="Fuentedeprrafopredeter"/>
    <w:link w:val="Textocomentario"/>
    <w:rsid w:val="00BE4392"/>
    <w:rPr>
      <w:color w:val="00000A"/>
      <w:lang w:bidi="ar-SA"/>
    </w:rPr>
  </w:style>
  <w:style w:type="paragraph" w:styleId="Asuntodelcomentario">
    <w:name w:val="annotation subject"/>
    <w:basedOn w:val="Textocomentario"/>
    <w:next w:val="Textocomentario"/>
    <w:link w:val="AsuntodelcomentarioCar"/>
    <w:rsid w:val="00BE4392"/>
    <w:rPr>
      <w:b/>
      <w:bCs/>
    </w:rPr>
  </w:style>
  <w:style w:type="character" w:customStyle="1" w:styleId="AsuntodelcomentarioCar">
    <w:name w:val="Asunto del comentario Car"/>
    <w:basedOn w:val="TextocomentarioCar"/>
    <w:link w:val="Asuntodelcomentario"/>
    <w:rsid w:val="00BE4392"/>
    <w:rPr>
      <w:b/>
      <w:bCs/>
      <w:color w:val="00000A"/>
      <w:lang w:bidi="ar-SA"/>
    </w:rPr>
  </w:style>
  <w:style w:type="paragraph" w:styleId="Textodeglobo">
    <w:name w:val="Balloon Text"/>
    <w:basedOn w:val="Normal"/>
    <w:link w:val="TextodegloboCar"/>
    <w:rsid w:val="00BE4392"/>
    <w:rPr>
      <w:rFonts w:ascii="Segoe UI" w:hAnsi="Segoe UI" w:cs="Segoe UI"/>
      <w:sz w:val="18"/>
      <w:szCs w:val="18"/>
    </w:rPr>
  </w:style>
  <w:style w:type="character" w:customStyle="1" w:styleId="TextodegloboCar">
    <w:name w:val="Texto de globo Car"/>
    <w:basedOn w:val="Fuentedeprrafopredeter"/>
    <w:link w:val="Textodeglobo"/>
    <w:rsid w:val="00BE4392"/>
    <w:rPr>
      <w:rFonts w:ascii="Segoe UI" w:hAnsi="Segoe UI" w:cs="Segoe UI"/>
      <w:color w:val="00000A"/>
      <w:sz w:val="18"/>
      <w:szCs w:val="18"/>
      <w:lang w:bidi="ar-SA"/>
    </w:rPr>
  </w:style>
  <w:style w:type="paragraph" w:customStyle="1" w:styleId="Cabeceraypie">
    <w:name w:val="Cabecera y pie"/>
    <w:rsid w:val="00042746"/>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Arial" w:eastAsia="Times New Roman" w:hAnsi="Arial" w:cs="Arial Unicode MS"/>
      <w:color w:val="3A7AB2"/>
      <w:sz w:val="28"/>
      <w:szCs w:val="28"/>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infojobs.net/" TargetMode="External"/><Relationship Id="rId18" Type="http://schemas.openxmlformats.org/officeDocument/2006/relationships/hyperlink" Target="https://www.adevinta.com/es/sp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bitaclia.com/" TargetMode="External"/><Relationship Id="rId17" Type="http://schemas.openxmlformats.org/officeDocument/2006/relationships/hyperlink" Target="https://www.vibbo.com/" TargetMode="External"/><Relationship Id="rId2" Type="http://schemas.openxmlformats.org/officeDocument/2006/relationships/numbering" Target="numbering.xml"/><Relationship Id="rId16" Type="http://schemas.openxmlformats.org/officeDocument/2006/relationships/hyperlink" Target="https://www.milanuncio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5" Type="http://schemas.openxmlformats.org/officeDocument/2006/relationships/webSettings" Target="webSettings.xml"/><Relationship Id="rId15" Type="http://schemas.openxmlformats.org/officeDocument/2006/relationships/hyperlink" Target="https://motos.coches.net/" TargetMode="External"/><Relationship Id="rId10" Type="http://schemas.openxmlformats.org/officeDocument/2006/relationships/chart" Target="charts/chart3.xml"/><Relationship Id="rId19"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coche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D\Dropbox\Colaboraciones\Infojobs\2020\07_Julio_Infojobs\01_EPA\Graficos_T2_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D\Dropbox\Colaboraciones\Infojobs\2020\07_Julio_Infojobs\01_EPA\Graficos_T2_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ID\Dropbox\Colaboraciones\Infojobs\2020\07_Julio_Infojobs\01_EPA\Graficos_T2_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es-ES">
                <a:solidFill>
                  <a:schemeClr val="tx1">
                    <a:lumMod val="50000"/>
                    <a:lumOff val="50000"/>
                  </a:schemeClr>
                </a:solidFill>
              </a:rPr>
              <a:t>Motivos</a:t>
            </a:r>
            <a:r>
              <a:rPr lang="es-ES" baseline="0">
                <a:solidFill>
                  <a:schemeClr val="tx1">
                    <a:lumMod val="50000"/>
                    <a:lumOff val="50000"/>
                  </a:schemeClr>
                </a:solidFill>
              </a:rPr>
              <a:t> de los ocupados que no han trabajado la semana de referencia (en miles)</a:t>
            </a:r>
            <a:endParaRPr lang="es-ES">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Ocupados!$A$9</c:f>
              <c:strCache>
                <c:ptCount val="1"/>
                <c:pt idx="0">
                  <c:v>    Paro parcial por razones técnicas o económicas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Ocupados!$B$8:$G$8</c:f>
              <c:strCache>
                <c:ptCount val="6"/>
                <c:pt idx="0">
                  <c:v>2020T2</c:v>
                </c:pt>
                <c:pt idx="1">
                  <c:v>2020T1</c:v>
                </c:pt>
                <c:pt idx="2">
                  <c:v>2019T4</c:v>
                </c:pt>
                <c:pt idx="3">
                  <c:v>2019T3</c:v>
                </c:pt>
                <c:pt idx="4">
                  <c:v>2019T2</c:v>
                </c:pt>
                <c:pt idx="5">
                  <c:v>2019T1</c:v>
                </c:pt>
              </c:strCache>
            </c:strRef>
          </c:cat>
          <c:val>
            <c:numRef>
              <c:f>Ocupados!$B$9:$G$9</c:f>
              <c:numCache>
                <c:formatCode>#,##0.0</c:formatCode>
                <c:ptCount val="6"/>
                <c:pt idx="0" formatCode="#,##0.00">
                  <c:v>1602.1</c:v>
                </c:pt>
                <c:pt idx="1">
                  <c:v>398.5</c:v>
                </c:pt>
                <c:pt idx="2">
                  <c:v>13.9</c:v>
                </c:pt>
                <c:pt idx="3">
                  <c:v>12</c:v>
                </c:pt>
                <c:pt idx="4">
                  <c:v>10.9</c:v>
                </c:pt>
                <c:pt idx="5">
                  <c:v>13</c:v>
                </c:pt>
              </c:numCache>
            </c:numRef>
          </c:val>
          <c:extLst>
            <c:ext xmlns:c16="http://schemas.microsoft.com/office/drawing/2014/chart" uri="{C3380CC4-5D6E-409C-BE32-E72D297353CC}">
              <c16:uniqueId val="{00000000-700B-442C-94A8-E46109A2CC7F}"/>
            </c:ext>
          </c:extLst>
        </c:ser>
        <c:ser>
          <c:idx val="1"/>
          <c:order val="1"/>
          <c:tx>
            <c:strRef>
              <c:f>Ocupados!$A$10</c:f>
              <c:strCache>
                <c:ptCount val="1"/>
                <c:pt idx="0">
                  <c:v>    Regulación de empleo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Ocupados!$B$8:$G$8</c:f>
              <c:strCache>
                <c:ptCount val="6"/>
                <c:pt idx="0">
                  <c:v>2020T2</c:v>
                </c:pt>
                <c:pt idx="1">
                  <c:v>2020T1</c:v>
                </c:pt>
                <c:pt idx="2">
                  <c:v>2019T4</c:v>
                </c:pt>
                <c:pt idx="3">
                  <c:v>2019T3</c:v>
                </c:pt>
                <c:pt idx="4">
                  <c:v>2019T2</c:v>
                </c:pt>
                <c:pt idx="5">
                  <c:v>2019T1</c:v>
                </c:pt>
              </c:strCache>
            </c:strRef>
          </c:cat>
          <c:val>
            <c:numRef>
              <c:f>Ocupados!$B$10:$G$10</c:f>
              <c:numCache>
                <c:formatCode>#,##0.0</c:formatCode>
                <c:ptCount val="6"/>
                <c:pt idx="0" formatCode="#,##0">
                  <c:v>1809</c:v>
                </c:pt>
                <c:pt idx="1">
                  <c:v>179.8</c:v>
                </c:pt>
                <c:pt idx="2">
                  <c:v>1.5</c:v>
                </c:pt>
                <c:pt idx="3">
                  <c:v>0.2</c:v>
                </c:pt>
                <c:pt idx="4">
                  <c:v>0.8</c:v>
                </c:pt>
                <c:pt idx="5">
                  <c:v>3.5</c:v>
                </c:pt>
              </c:numCache>
            </c:numRef>
          </c:val>
          <c:extLst>
            <c:ext xmlns:c16="http://schemas.microsoft.com/office/drawing/2014/chart" uri="{C3380CC4-5D6E-409C-BE32-E72D297353CC}">
              <c16:uniqueId val="{00000001-700B-442C-94A8-E46109A2CC7F}"/>
            </c:ext>
          </c:extLst>
        </c:ser>
        <c:dLbls>
          <c:dLblPos val="outEnd"/>
          <c:showLegendKey val="0"/>
          <c:showVal val="1"/>
          <c:showCatName val="0"/>
          <c:showSerName val="0"/>
          <c:showPercent val="0"/>
          <c:showBubbleSize val="0"/>
        </c:dLbls>
        <c:gapWidth val="219"/>
        <c:overlap val="-27"/>
        <c:axId val="1892664256"/>
        <c:axId val="1769990864"/>
      </c:barChart>
      <c:catAx>
        <c:axId val="189266425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69990864"/>
        <c:crosses val="autoZero"/>
        <c:auto val="1"/>
        <c:lblAlgn val="ctr"/>
        <c:lblOffset val="100"/>
        <c:noMultiLvlLbl val="0"/>
      </c:catAx>
      <c:valAx>
        <c:axId val="1769990864"/>
        <c:scaling>
          <c:orientation val="minMax"/>
        </c:scaling>
        <c:delete val="0"/>
        <c:axPos val="r"/>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92664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s-ES"/>
              <a:t>Variación en total de inactivos respecto al trimestre anterior (en miles)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Inactivos!$B$7:$H$7</c:f>
              <c:strCache>
                <c:ptCount val="7"/>
                <c:pt idx="0">
                  <c:v>2020T2</c:v>
                </c:pt>
                <c:pt idx="1">
                  <c:v>2020T1</c:v>
                </c:pt>
                <c:pt idx="2">
                  <c:v>2019T4</c:v>
                </c:pt>
                <c:pt idx="3">
                  <c:v>2019T3</c:v>
                </c:pt>
                <c:pt idx="4">
                  <c:v>2019T2</c:v>
                </c:pt>
                <c:pt idx="5">
                  <c:v>2019T1</c:v>
                </c:pt>
                <c:pt idx="6">
                  <c:v>2018T4</c:v>
                </c:pt>
              </c:strCache>
            </c:strRef>
          </c:cat>
          <c:val>
            <c:numRef>
              <c:f>Inactivos!$B$12:$H$12</c:f>
              <c:numCache>
                <c:formatCode>#,##0.0</c:formatCode>
                <c:ptCount val="7"/>
                <c:pt idx="0">
                  <c:v>1062.7999999999993</c:v>
                </c:pt>
                <c:pt idx="1">
                  <c:v>257.50000000000182</c:v>
                </c:pt>
                <c:pt idx="2">
                  <c:v>35.100000000000364</c:v>
                </c:pt>
                <c:pt idx="3">
                  <c:v>55.699999999998909</c:v>
                </c:pt>
                <c:pt idx="4">
                  <c:v>-111.79999999999927</c:v>
                </c:pt>
                <c:pt idx="5">
                  <c:v>138.79999999999927</c:v>
                </c:pt>
                <c:pt idx="6">
                  <c:v>92.200000000000728</c:v>
                </c:pt>
              </c:numCache>
            </c:numRef>
          </c:val>
          <c:extLst>
            <c:ext xmlns:c16="http://schemas.microsoft.com/office/drawing/2014/chart" uri="{C3380CC4-5D6E-409C-BE32-E72D297353CC}">
              <c16:uniqueId val="{00000000-81FA-41F1-9052-76A3CE1AA355}"/>
            </c:ext>
          </c:extLst>
        </c:ser>
        <c:dLbls>
          <c:dLblPos val="outEnd"/>
          <c:showLegendKey val="0"/>
          <c:showVal val="1"/>
          <c:showCatName val="0"/>
          <c:showSerName val="0"/>
          <c:showPercent val="0"/>
          <c:showBubbleSize val="0"/>
        </c:dLbls>
        <c:gapWidth val="100"/>
        <c:overlap val="-24"/>
        <c:axId val="1892671856"/>
        <c:axId val="1903527328"/>
      </c:barChart>
      <c:catAx>
        <c:axId val="1892671856"/>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903527328"/>
        <c:crosses val="autoZero"/>
        <c:auto val="1"/>
        <c:lblAlgn val="ctr"/>
        <c:lblOffset val="100"/>
        <c:noMultiLvlLbl val="0"/>
      </c:catAx>
      <c:valAx>
        <c:axId val="1903527328"/>
        <c:scaling>
          <c:orientation val="minMax"/>
        </c:scaling>
        <c:delete val="0"/>
        <c:axPos val="r"/>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S"/>
          </a:p>
        </c:txPr>
        <c:crossAx val="1892671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r>
              <a:rPr lang="es-ES">
                <a:solidFill>
                  <a:schemeClr val="tx1">
                    <a:lumMod val="50000"/>
                    <a:lumOff val="50000"/>
                  </a:schemeClr>
                </a:solidFill>
              </a:rPr>
              <a:t>Horas trabajadas por el conjunto</a:t>
            </a:r>
            <a:r>
              <a:rPr lang="es-ES" baseline="0">
                <a:solidFill>
                  <a:schemeClr val="tx1">
                    <a:lumMod val="50000"/>
                    <a:lumOff val="50000"/>
                  </a:schemeClr>
                </a:solidFill>
              </a:rPr>
              <a:t> de los ocupados (millones)</a:t>
            </a:r>
            <a:endParaRPr lang="es-ES">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50000"/>
                  <a:lumOff val="50000"/>
                </a:schemeClr>
              </a:solidFill>
              <a:latin typeface="+mn-lt"/>
              <a:ea typeface="+mn-ea"/>
              <a:cs typeface="+mn-cs"/>
            </a:defRPr>
          </a:pPr>
          <a:endParaRPr lang="es-ES"/>
        </a:p>
      </c:txPr>
    </c:title>
    <c:autoTitleDeleted val="0"/>
    <c:plotArea>
      <c:layout/>
      <c:barChart>
        <c:barDir val="col"/>
        <c:grouping val="clustered"/>
        <c:varyColors val="0"/>
        <c:ser>
          <c:idx val="0"/>
          <c:order val="0"/>
          <c:tx>
            <c:strRef>
              <c:f>Horas!$H$3</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Horas!$I$2:$L$2</c:f>
              <c:strCache>
                <c:ptCount val="4"/>
                <c:pt idx="0">
                  <c:v>T1</c:v>
                </c:pt>
                <c:pt idx="1">
                  <c:v>T2</c:v>
                </c:pt>
                <c:pt idx="2">
                  <c:v>T3</c:v>
                </c:pt>
                <c:pt idx="3">
                  <c:v>T4</c:v>
                </c:pt>
              </c:strCache>
            </c:strRef>
          </c:cat>
          <c:val>
            <c:numRef>
              <c:f>Horas!$I$3:$L$3</c:f>
              <c:numCache>
                <c:formatCode>0</c:formatCode>
                <c:ptCount val="4"/>
                <c:pt idx="0">
                  <c:v>615.14049999999997</c:v>
                </c:pt>
                <c:pt idx="1">
                  <c:v>646.37099999999998</c:v>
                </c:pt>
                <c:pt idx="2">
                  <c:v>587.82909999999993</c:v>
                </c:pt>
                <c:pt idx="3">
                  <c:v>628.65</c:v>
                </c:pt>
              </c:numCache>
            </c:numRef>
          </c:val>
          <c:extLst>
            <c:ext xmlns:c16="http://schemas.microsoft.com/office/drawing/2014/chart" uri="{C3380CC4-5D6E-409C-BE32-E72D297353CC}">
              <c16:uniqueId val="{00000000-F449-4042-8AFB-2B566B4D5067}"/>
            </c:ext>
          </c:extLst>
        </c:ser>
        <c:ser>
          <c:idx val="1"/>
          <c:order val="1"/>
          <c:tx>
            <c:strRef>
              <c:f>Horas!$H$4</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Horas!$I$2:$L$2</c:f>
              <c:strCache>
                <c:ptCount val="4"/>
                <c:pt idx="0">
                  <c:v>T1</c:v>
                </c:pt>
                <c:pt idx="1">
                  <c:v>T2</c:v>
                </c:pt>
                <c:pt idx="2">
                  <c:v>T3</c:v>
                </c:pt>
                <c:pt idx="3">
                  <c:v>T4</c:v>
                </c:pt>
              </c:strCache>
            </c:strRef>
          </c:cat>
          <c:val>
            <c:numRef>
              <c:f>Horas!$I$4:$L$4</c:f>
              <c:numCache>
                <c:formatCode>0</c:formatCode>
                <c:ptCount val="4"/>
                <c:pt idx="0">
                  <c:v>638.56569999999999</c:v>
                </c:pt>
                <c:pt idx="1">
                  <c:v>646.34829999999999</c:v>
                </c:pt>
                <c:pt idx="2">
                  <c:v>588.45190000000002</c:v>
                </c:pt>
                <c:pt idx="3">
                  <c:v>639.96159999999998</c:v>
                </c:pt>
              </c:numCache>
            </c:numRef>
          </c:val>
          <c:extLst>
            <c:ext xmlns:c16="http://schemas.microsoft.com/office/drawing/2014/chart" uri="{C3380CC4-5D6E-409C-BE32-E72D297353CC}">
              <c16:uniqueId val="{00000001-F449-4042-8AFB-2B566B4D5067}"/>
            </c:ext>
          </c:extLst>
        </c:ser>
        <c:ser>
          <c:idx val="2"/>
          <c:order val="2"/>
          <c:tx>
            <c:strRef>
              <c:f>Horas!$H$5</c:f>
              <c:strCache>
                <c:ptCount val="1"/>
                <c:pt idx="0">
                  <c:v>2020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Horas!$I$2:$L$2</c:f>
              <c:strCache>
                <c:ptCount val="4"/>
                <c:pt idx="0">
                  <c:v>T1</c:v>
                </c:pt>
                <c:pt idx="1">
                  <c:v>T2</c:v>
                </c:pt>
                <c:pt idx="2">
                  <c:v>T3</c:v>
                </c:pt>
                <c:pt idx="3">
                  <c:v>T4</c:v>
                </c:pt>
              </c:strCache>
            </c:strRef>
          </c:cat>
          <c:val>
            <c:numRef>
              <c:f>Horas!$I$5:$L$5</c:f>
              <c:numCache>
                <c:formatCode>0</c:formatCode>
                <c:ptCount val="4"/>
                <c:pt idx="0">
                  <c:v>612.75280000000009</c:v>
                </c:pt>
                <c:pt idx="1">
                  <c:v>474.30680000000001</c:v>
                </c:pt>
              </c:numCache>
            </c:numRef>
          </c:val>
          <c:extLst>
            <c:ext xmlns:c16="http://schemas.microsoft.com/office/drawing/2014/chart" uri="{C3380CC4-5D6E-409C-BE32-E72D297353CC}">
              <c16:uniqueId val="{00000002-F449-4042-8AFB-2B566B4D5067}"/>
            </c:ext>
          </c:extLst>
        </c:ser>
        <c:dLbls>
          <c:dLblPos val="outEnd"/>
          <c:showLegendKey val="0"/>
          <c:showVal val="1"/>
          <c:showCatName val="0"/>
          <c:showSerName val="0"/>
          <c:showPercent val="0"/>
          <c:showBubbleSize val="0"/>
        </c:dLbls>
        <c:gapWidth val="219"/>
        <c:overlap val="-27"/>
        <c:axId val="1992599376"/>
        <c:axId val="1905546352"/>
      </c:barChart>
      <c:catAx>
        <c:axId val="1992599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05546352"/>
        <c:crosses val="autoZero"/>
        <c:auto val="1"/>
        <c:lblAlgn val="ctr"/>
        <c:lblOffset val="100"/>
        <c:noMultiLvlLbl val="0"/>
      </c:catAx>
      <c:valAx>
        <c:axId val="1905546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992599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4</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Xènia Gallego Busquets</cp:lastModifiedBy>
  <cp:revision>59</cp:revision>
  <dcterms:created xsi:type="dcterms:W3CDTF">2016-12-02T03:33:00Z</dcterms:created>
  <dcterms:modified xsi:type="dcterms:W3CDTF">2020-07-28T08:35:00Z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3082-10.1.0.5672</vt:lpwstr>
  </property>
  <property fmtid="{D5CDD505-2E9C-101B-9397-08002B2CF9AE}" pid="4" name="LinksUpToDate">
    <vt:bool>false</vt:bool>
  </property>
  <property fmtid="{D5CDD505-2E9C-101B-9397-08002B2CF9AE}" pid="5" name="ScaleCrop">
    <vt:bool>false</vt:bool>
  </property>
</Properties>
</file>