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242A" w14:textId="00967AC3" w:rsidR="006A1117" w:rsidRPr="0093767F" w:rsidRDefault="0093767F" w:rsidP="0093767F">
      <w:pPr>
        <w:tabs>
          <w:tab w:val="left" w:pos="2400"/>
        </w:tabs>
        <w:jc w:val="center"/>
        <w:rPr>
          <w:rFonts w:ascii="Arial" w:eastAsia="Times New Roman" w:hAnsi="Arial" w:cs="Arial"/>
          <w:bCs/>
          <w:color w:val="7F7F7F"/>
          <w:lang w:val="es-ES"/>
        </w:rPr>
      </w:pPr>
      <w:r w:rsidRPr="0093767F">
        <w:rPr>
          <w:b/>
          <w:color w:val="000000"/>
          <w:sz w:val="32"/>
          <w:szCs w:val="32"/>
        </w:rPr>
        <w:t xml:space="preserve">                   </w:t>
      </w:r>
      <w:r w:rsidRPr="0093767F">
        <w:rPr>
          <w:rFonts w:ascii="Arial" w:eastAsia="Times New Roman" w:hAnsi="Arial" w:cs="Arial"/>
          <w:bCs/>
          <w:color w:val="7F7F7F"/>
          <w:lang w:val="es-ES"/>
        </w:rPr>
        <w:t xml:space="preserve">Informe InfoJobs sobre la </w:t>
      </w:r>
      <w:r>
        <w:rPr>
          <w:rFonts w:ascii="Arial" w:eastAsia="Times New Roman" w:hAnsi="Arial" w:cs="Arial"/>
          <w:bCs/>
          <w:color w:val="7F7F7F"/>
          <w:lang w:val="es-ES"/>
        </w:rPr>
        <w:t>B</w:t>
      </w:r>
      <w:r w:rsidRPr="0093767F">
        <w:rPr>
          <w:rFonts w:ascii="Arial" w:eastAsia="Times New Roman" w:hAnsi="Arial" w:cs="Arial"/>
          <w:bCs/>
          <w:color w:val="7F7F7F"/>
          <w:lang w:val="es-ES"/>
        </w:rPr>
        <w:t xml:space="preserve">recha </w:t>
      </w:r>
      <w:r>
        <w:rPr>
          <w:rFonts w:ascii="Arial" w:eastAsia="Times New Roman" w:hAnsi="Arial" w:cs="Arial"/>
          <w:bCs/>
          <w:color w:val="7F7F7F"/>
          <w:lang w:val="es-ES"/>
        </w:rPr>
        <w:t>S</w:t>
      </w:r>
      <w:r w:rsidRPr="0093767F">
        <w:rPr>
          <w:rFonts w:ascii="Arial" w:eastAsia="Times New Roman" w:hAnsi="Arial" w:cs="Arial"/>
          <w:bCs/>
          <w:color w:val="7F7F7F"/>
          <w:lang w:val="es-ES"/>
        </w:rPr>
        <w:t>alarial en España</w:t>
      </w:r>
    </w:p>
    <w:p w14:paraId="3EE928EA" w14:textId="77777777" w:rsidR="006A1117" w:rsidRDefault="006A1117">
      <w:pPr>
        <w:spacing w:line="252" w:lineRule="auto"/>
        <w:jc w:val="center"/>
        <w:rPr>
          <w:b/>
          <w:color w:val="767171"/>
          <w:sz w:val="12"/>
          <w:szCs w:val="12"/>
          <w:u w:val="single"/>
        </w:rPr>
      </w:pPr>
    </w:p>
    <w:p w14:paraId="11D361B1" w14:textId="77777777" w:rsidR="006A1117" w:rsidRPr="0093767F" w:rsidRDefault="0093767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Unicode MS" w:hAnsi="Arial" w:cs="Arial Unicode MS"/>
          <w:color w:val="0070C0"/>
          <w:sz w:val="50"/>
          <w:szCs w:val="50"/>
          <w:u w:color="27AAE1"/>
          <w:bdr w:val="nil"/>
          <w:lang w:val="es-ES"/>
        </w:rPr>
      </w:pPr>
      <w:bookmarkStart w:id="0" w:name="_heading=h.30j0zll" w:colFirst="0" w:colLast="0"/>
      <w:bookmarkEnd w:id="0"/>
      <w:r w:rsidRPr="0093767F">
        <w:rPr>
          <w:rFonts w:ascii="Arial" w:eastAsia="Arial Unicode MS" w:hAnsi="Arial" w:cs="Arial Unicode MS"/>
          <w:color w:val="0070C0"/>
          <w:sz w:val="50"/>
          <w:szCs w:val="50"/>
          <w:u w:color="27AAE1"/>
          <w:bdr w:val="nil"/>
          <w:lang w:val="es-ES"/>
        </w:rPr>
        <w:t xml:space="preserve">El 86% de los españoles, a favor de que las empresas hagan público el salario de sus empleados para acabar con la brecha salarial de género  </w:t>
      </w:r>
    </w:p>
    <w:p w14:paraId="75577E1E" w14:textId="77777777" w:rsidR="006A1117" w:rsidRDefault="006A1117">
      <w:pPr>
        <w:spacing w:line="252" w:lineRule="auto"/>
        <w:jc w:val="both"/>
        <w:rPr>
          <w:b/>
          <w:color w:val="2F5496"/>
          <w:sz w:val="16"/>
          <w:szCs w:val="16"/>
        </w:rPr>
      </w:pPr>
    </w:p>
    <w:p w14:paraId="388E354B" w14:textId="77777777" w:rsidR="006A1117" w:rsidRDefault="0093767F">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Un dato que cobra especial relevancia tras el reciente acuerdo entre Gobierno y sindicatos para establecer un marco de actuación en las empresas a favor de la igualdad en el trabajo, y que establece la obligación de tener un registro retributivo para verificar que no existen diferencias salariales por cuestión de género</w:t>
      </w:r>
    </w:p>
    <w:p w14:paraId="429F4368" w14:textId="77777777" w:rsidR="006A1117" w:rsidRDefault="0093767F">
      <w:pPr>
        <w:numPr>
          <w:ilvl w:val="0"/>
          <w:numId w:val="1"/>
        </w:numPr>
        <w:pBdr>
          <w:top w:val="nil"/>
          <w:left w:val="nil"/>
          <w:bottom w:val="nil"/>
          <w:right w:val="nil"/>
          <w:between w:val="nil"/>
        </w:pBdr>
        <w:spacing w:after="0" w:line="252" w:lineRule="auto"/>
        <w:jc w:val="both"/>
        <w:rPr>
          <w:rFonts w:ascii="Arial" w:eastAsia="Arial" w:hAnsi="Arial" w:cs="Arial"/>
          <w:color w:val="0070C0"/>
          <w:sz w:val="20"/>
          <w:szCs w:val="20"/>
        </w:rPr>
      </w:pPr>
      <w:r>
        <w:rPr>
          <w:rFonts w:ascii="Arial" w:eastAsia="Arial" w:hAnsi="Arial" w:cs="Arial"/>
          <w:color w:val="0070C0"/>
          <w:sz w:val="20"/>
          <w:szCs w:val="20"/>
        </w:rPr>
        <w:t>El 66% de los españoles considera que existe una brecha salarial y, por consiguiente, que hombres y mujeres no cobran lo mismo a pesar de desempeñar tareas similares</w:t>
      </w:r>
    </w:p>
    <w:p w14:paraId="72E9B95B" w14:textId="77777777" w:rsidR="006A1117" w:rsidRDefault="006A1117">
      <w:pPr>
        <w:pBdr>
          <w:top w:val="nil"/>
          <w:left w:val="nil"/>
          <w:bottom w:val="nil"/>
          <w:right w:val="nil"/>
          <w:between w:val="nil"/>
        </w:pBdr>
        <w:spacing w:after="0" w:line="252" w:lineRule="auto"/>
        <w:jc w:val="both"/>
        <w:rPr>
          <w:b/>
          <w:color w:val="2F5496"/>
          <w:sz w:val="16"/>
          <w:szCs w:val="16"/>
        </w:rPr>
      </w:pPr>
    </w:p>
    <w:p w14:paraId="0B78CA54" w14:textId="77777777" w:rsidR="006A1117" w:rsidRDefault="0093767F">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Este porcentaje crece hasta el 78% cuando quienes opinan son mujeres, frente a solo un 53% de los hombres</w:t>
      </w:r>
    </w:p>
    <w:p w14:paraId="33F6AC24" w14:textId="3CB73301" w:rsidR="006A1117" w:rsidRDefault="0093767F">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Los jóvenes de entre 16 y 24 años son los más críticos: 3 de cada 4 opinan que existe diferencia salarial entre géneros</w:t>
      </w:r>
    </w:p>
    <w:p w14:paraId="5B2C7644" w14:textId="77777777" w:rsidR="0093767F" w:rsidRDefault="0093767F" w:rsidP="0093767F">
      <w:pPr>
        <w:pBdr>
          <w:top w:val="nil"/>
          <w:left w:val="nil"/>
          <w:bottom w:val="nil"/>
          <w:right w:val="nil"/>
          <w:between w:val="nil"/>
        </w:pBdr>
        <w:spacing w:line="252" w:lineRule="auto"/>
        <w:ind w:left="720"/>
        <w:jc w:val="both"/>
        <w:rPr>
          <w:rFonts w:ascii="Arial" w:eastAsia="Arial" w:hAnsi="Arial" w:cs="Arial"/>
          <w:color w:val="0070C0"/>
          <w:sz w:val="20"/>
          <w:szCs w:val="20"/>
        </w:rPr>
      </w:pPr>
    </w:p>
    <w:p w14:paraId="1936C0B0" w14:textId="30BF79FA" w:rsidR="006A1117" w:rsidRDefault="0093767F" w:rsidP="0093767F">
      <w:pPr>
        <w:spacing w:line="360" w:lineRule="auto"/>
        <w:jc w:val="both"/>
        <w:rPr>
          <w:rFonts w:ascii="Arial" w:eastAsia="Arial" w:hAnsi="Arial" w:cs="Arial"/>
          <w:sz w:val="20"/>
          <w:szCs w:val="20"/>
        </w:rPr>
      </w:pPr>
      <w:r>
        <w:rPr>
          <w:rFonts w:ascii="Arial" w:eastAsia="Arial" w:hAnsi="Arial" w:cs="Arial"/>
          <w:b/>
          <w:sz w:val="20"/>
          <w:szCs w:val="20"/>
        </w:rPr>
        <w:t>Madrid, 31 de julio de 2020</w:t>
      </w:r>
      <w:r>
        <w:rPr>
          <w:b/>
        </w:rPr>
        <w:t xml:space="preserve"> – </w:t>
      </w:r>
      <w:r>
        <w:rPr>
          <w:rFonts w:ascii="Arial" w:eastAsia="Arial" w:hAnsi="Arial" w:cs="Arial"/>
          <w:sz w:val="20"/>
          <w:szCs w:val="20"/>
        </w:rPr>
        <w:t xml:space="preserve">Con la mirada puesta en combatir la brecha salarial de género, en un momento en el que existe el riesgo de que el peso de la crisis por la pandemia acentúe esta problemática, el Gobierno ha presentado recientemente el </w:t>
      </w:r>
      <w:r>
        <w:rPr>
          <w:rFonts w:ascii="Arial" w:eastAsia="Arial" w:hAnsi="Arial" w:cs="Arial"/>
          <w:i/>
          <w:sz w:val="20"/>
          <w:szCs w:val="20"/>
        </w:rPr>
        <w:t>Acuerdo por la Igualdad Efectiva entre Mujeres y Hombres en el Trabajo</w:t>
      </w:r>
      <w:r>
        <w:rPr>
          <w:rFonts w:ascii="Arial" w:eastAsia="Arial" w:hAnsi="Arial" w:cs="Arial"/>
          <w:sz w:val="20"/>
          <w:szCs w:val="20"/>
        </w:rPr>
        <w:t>, sellado con los sindicatos UGT y CCOO y centrado en dos pilares fundamentales: impulsar políticas de igualdad retributiva y planes de igualdad en las empresas.</w:t>
      </w:r>
    </w:p>
    <w:p w14:paraId="648AF115"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En línea con estas medidas y según datos de un informe elaborado por </w:t>
      </w:r>
      <w:hyperlink r:id="rId8">
        <w:r>
          <w:rPr>
            <w:rFonts w:ascii="Arial" w:eastAsia="Arial" w:hAnsi="Arial" w:cs="Arial"/>
            <w:b/>
            <w:color w:val="0563C1"/>
            <w:sz w:val="20"/>
            <w:szCs w:val="20"/>
            <w:u w:val="single"/>
          </w:rPr>
          <w:t>InfoJobs</w:t>
        </w:r>
      </w:hyperlink>
      <w:r>
        <w:rPr>
          <w:rFonts w:ascii="Arial" w:eastAsia="Arial" w:hAnsi="Arial" w:cs="Arial"/>
          <w:sz w:val="20"/>
          <w:szCs w:val="20"/>
        </w:rPr>
        <w:t xml:space="preserve"> en el que se analiza la percepción que la población activa española</w:t>
      </w:r>
      <w:r>
        <w:rPr>
          <w:rFonts w:ascii="Arial" w:eastAsia="Arial" w:hAnsi="Arial" w:cs="Arial"/>
          <w:sz w:val="20"/>
          <w:szCs w:val="20"/>
          <w:vertAlign w:val="superscript"/>
        </w:rPr>
        <w:t>1</w:t>
      </w:r>
      <w:r>
        <w:rPr>
          <w:rFonts w:ascii="Arial" w:eastAsia="Arial" w:hAnsi="Arial" w:cs="Arial"/>
          <w:sz w:val="20"/>
          <w:szCs w:val="20"/>
        </w:rPr>
        <w:t xml:space="preserve"> tiene de la existencia de la diferencia salarial entre hombres y mujeres, se desgrana que el 86% de los españoles está de acuerdo con que las empresas hagan públicos los salarios de sus trabajadores por posición/categoría, como medida para acabar con la brecha salarial. Una cifra que se eleva hasta el 90% en el caso de las mujeres mientras que el 81% de los hombres se posiciona a favor de la transparencia salarial. </w:t>
      </w:r>
    </w:p>
    <w:p w14:paraId="414FA7F8" w14:textId="77777777" w:rsidR="006A1117" w:rsidRDefault="0093767F" w:rsidP="0093767F">
      <w:pPr>
        <w:spacing w:line="360" w:lineRule="auto"/>
        <w:jc w:val="both"/>
        <w:rPr>
          <w:rFonts w:ascii="Arial" w:eastAsia="Arial" w:hAnsi="Arial" w:cs="Arial"/>
          <w:sz w:val="20"/>
          <w:szCs w:val="20"/>
        </w:rPr>
      </w:pPr>
      <w:r>
        <w:rPr>
          <w:noProof/>
        </w:rPr>
        <w:lastRenderedPageBreak/>
        <w:drawing>
          <wp:anchor distT="0" distB="0" distL="114300" distR="114300" simplePos="0" relativeHeight="251658240" behindDoc="0" locked="0" layoutInCell="1" hidden="0" allowOverlap="1" wp14:anchorId="520F8D26" wp14:editId="39A6C2FF">
            <wp:simplePos x="0" y="0"/>
            <wp:positionH relativeFrom="column">
              <wp:posOffset>474345</wp:posOffset>
            </wp:positionH>
            <wp:positionV relativeFrom="paragraph">
              <wp:posOffset>4445</wp:posOffset>
            </wp:positionV>
            <wp:extent cx="4648200" cy="2026920"/>
            <wp:effectExtent l="0" t="0" r="0" b="0"/>
            <wp:wrapSquare wrapText="bothSides" distT="0" distB="0" distL="114300" distR="1143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7EB99CE" w14:textId="77777777" w:rsidR="006A1117" w:rsidRDefault="006A1117" w:rsidP="0093767F">
      <w:pPr>
        <w:spacing w:line="360" w:lineRule="auto"/>
        <w:jc w:val="both"/>
        <w:rPr>
          <w:rFonts w:ascii="Arial" w:eastAsia="Arial" w:hAnsi="Arial" w:cs="Arial"/>
          <w:sz w:val="20"/>
          <w:szCs w:val="20"/>
        </w:rPr>
      </w:pPr>
    </w:p>
    <w:p w14:paraId="14783CF8" w14:textId="77777777" w:rsidR="006A1117" w:rsidRDefault="006A1117" w:rsidP="0093767F">
      <w:pPr>
        <w:spacing w:line="360" w:lineRule="auto"/>
        <w:jc w:val="both"/>
        <w:rPr>
          <w:rFonts w:ascii="Arial" w:eastAsia="Arial" w:hAnsi="Arial" w:cs="Arial"/>
          <w:sz w:val="16"/>
          <w:szCs w:val="16"/>
        </w:rPr>
      </w:pPr>
    </w:p>
    <w:p w14:paraId="63C7B45B" w14:textId="77777777" w:rsidR="006A1117" w:rsidRDefault="006A1117" w:rsidP="0093767F">
      <w:pPr>
        <w:spacing w:line="360" w:lineRule="auto"/>
        <w:jc w:val="both"/>
        <w:rPr>
          <w:rFonts w:ascii="Arial" w:eastAsia="Arial" w:hAnsi="Arial" w:cs="Arial"/>
          <w:sz w:val="16"/>
          <w:szCs w:val="16"/>
        </w:rPr>
      </w:pPr>
    </w:p>
    <w:p w14:paraId="7F5F0516" w14:textId="77777777" w:rsidR="006A1117" w:rsidRDefault="006A1117" w:rsidP="0093767F">
      <w:pPr>
        <w:spacing w:line="360" w:lineRule="auto"/>
        <w:jc w:val="both"/>
        <w:rPr>
          <w:rFonts w:ascii="Arial" w:eastAsia="Arial" w:hAnsi="Arial" w:cs="Arial"/>
          <w:sz w:val="16"/>
          <w:szCs w:val="16"/>
        </w:rPr>
      </w:pPr>
    </w:p>
    <w:p w14:paraId="7B530AC2" w14:textId="77777777" w:rsidR="006A1117" w:rsidRDefault="006A1117" w:rsidP="0093767F">
      <w:pPr>
        <w:spacing w:line="360" w:lineRule="auto"/>
        <w:jc w:val="both"/>
        <w:rPr>
          <w:rFonts w:ascii="Arial" w:eastAsia="Arial" w:hAnsi="Arial" w:cs="Arial"/>
          <w:sz w:val="16"/>
          <w:szCs w:val="16"/>
        </w:rPr>
      </w:pPr>
    </w:p>
    <w:p w14:paraId="3BD0B8BA" w14:textId="77777777" w:rsidR="006A1117" w:rsidRDefault="006A1117" w:rsidP="0093767F">
      <w:pPr>
        <w:spacing w:line="360" w:lineRule="auto"/>
        <w:jc w:val="both"/>
        <w:rPr>
          <w:rFonts w:ascii="Arial" w:eastAsia="Arial" w:hAnsi="Arial" w:cs="Arial"/>
          <w:sz w:val="16"/>
          <w:szCs w:val="16"/>
        </w:rPr>
      </w:pPr>
    </w:p>
    <w:p w14:paraId="423207D7" w14:textId="24DE19C2" w:rsidR="006A1117" w:rsidRDefault="00A62798" w:rsidP="00A62798">
      <w:pPr>
        <w:spacing w:line="360" w:lineRule="auto"/>
        <w:ind w:left="720"/>
        <w:jc w:val="both"/>
        <w:rPr>
          <w:rFonts w:ascii="Arial" w:eastAsia="Arial" w:hAnsi="Arial" w:cs="Arial"/>
          <w:sz w:val="16"/>
          <w:szCs w:val="16"/>
        </w:rPr>
      </w:pPr>
      <w:r>
        <w:rPr>
          <w:rFonts w:ascii="Arial" w:eastAsia="Arial" w:hAnsi="Arial" w:cs="Arial"/>
          <w:sz w:val="16"/>
          <w:szCs w:val="16"/>
        </w:rPr>
        <w:t xml:space="preserve">  </w:t>
      </w:r>
      <w:r w:rsidR="0093767F">
        <w:rPr>
          <w:rFonts w:ascii="Arial" w:eastAsia="Arial" w:hAnsi="Arial" w:cs="Arial"/>
          <w:sz w:val="16"/>
          <w:szCs w:val="16"/>
        </w:rPr>
        <w:t>Fuente InfoJobs                                                                                                                      n= 4.463</w:t>
      </w:r>
    </w:p>
    <w:p w14:paraId="146390E2" w14:textId="77777777" w:rsidR="006A1117" w:rsidRDefault="006A1117" w:rsidP="0093767F">
      <w:pPr>
        <w:spacing w:line="360" w:lineRule="auto"/>
        <w:jc w:val="both"/>
        <w:rPr>
          <w:rFonts w:ascii="Arial" w:eastAsia="Arial" w:hAnsi="Arial" w:cs="Arial"/>
          <w:sz w:val="20"/>
          <w:szCs w:val="20"/>
        </w:rPr>
      </w:pPr>
    </w:p>
    <w:p w14:paraId="4AB9F668"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Teniendo en cuenta la edad, la población activa de 16 a 34 años es la que muestra un mayor apoyo a la implementación de medidas de transparencia salarial (89%). Una cifra que desciende hasta el 84% en el caso de los que tienen edades comprendidas entre los 55 y los 65 años. </w:t>
      </w:r>
    </w:p>
    <w:p w14:paraId="5B2ED87C" w14:textId="23EA09EE"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El Informe tampoco muestra diferencias relevantes por tipo de estudios realizados, pero sí se observan datos significativos con respecto al nivel laboral. En este sentido, se da la tendencia que a mayor nivel laboral menos de acuerdo se está con este tipo de políticas de transparencia salarial. Así, el 78% de los españoles en posiciones directivas las aprueba frente a otras posiciones inferiores cuyo porcentaje es más elevado: el 88% de empleados y el 84% de mandos intermedios está a favor de que se hagan públicos los salarios. Los parados están ligeramente más a favor de este tipo de políticas (89%) que los ocupados (86%). </w:t>
      </w:r>
    </w:p>
    <w:p w14:paraId="2F33EBAF" w14:textId="1B9DD143" w:rsidR="006A1117" w:rsidRDefault="0093767F" w:rsidP="0093767F">
      <w:pPr>
        <w:spacing w:line="360" w:lineRule="auto"/>
        <w:jc w:val="both"/>
        <w:rPr>
          <w:rFonts w:ascii="Arial" w:eastAsia="Arial" w:hAnsi="Arial" w:cs="Arial"/>
          <w:sz w:val="20"/>
          <w:szCs w:val="20"/>
        </w:rPr>
      </w:pPr>
      <w:r>
        <w:rPr>
          <w:rFonts w:ascii="Arial" w:eastAsia="Arial" w:hAnsi="Arial" w:cs="Arial"/>
          <w:i/>
          <w:sz w:val="20"/>
          <w:szCs w:val="20"/>
        </w:rPr>
        <w:t xml:space="preserve">“Los datos del Informe evidencian que existe una conciencia real entre la población sobre la necesidad de acabar con la brecha salarial y cada vez son más las personas que están de acuerdo con que se implanten medidas para hacerlo. Además, las empresas que aplican este tipo de políticas se benefician en muchos aspectos, es decir, no sólo contribuyen a nivelar las condiciones salariales para las mujeres, sino que también impulsan un mejor ambiente laboral” </w:t>
      </w:r>
      <w:r>
        <w:rPr>
          <w:rFonts w:ascii="Arial" w:eastAsia="Arial" w:hAnsi="Arial" w:cs="Arial"/>
          <w:sz w:val="20"/>
          <w:szCs w:val="20"/>
        </w:rPr>
        <w:t xml:space="preserve">señala </w:t>
      </w:r>
      <w:r>
        <w:rPr>
          <w:rFonts w:ascii="Arial" w:eastAsia="Arial" w:hAnsi="Arial" w:cs="Arial"/>
          <w:b/>
          <w:sz w:val="20"/>
          <w:szCs w:val="20"/>
        </w:rPr>
        <w:t>Mónica Pérez, directora de comunicación de InfoJobs</w:t>
      </w:r>
      <w:r>
        <w:rPr>
          <w:rFonts w:ascii="Arial" w:eastAsia="Arial" w:hAnsi="Arial" w:cs="Arial"/>
          <w:sz w:val="20"/>
          <w:szCs w:val="20"/>
        </w:rPr>
        <w:t>.</w:t>
      </w:r>
    </w:p>
    <w:p w14:paraId="165F6848" w14:textId="7668A1C8" w:rsidR="0093767F" w:rsidRDefault="0093767F" w:rsidP="0093767F">
      <w:pPr>
        <w:spacing w:line="360" w:lineRule="auto"/>
        <w:jc w:val="both"/>
        <w:rPr>
          <w:rFonts w:ascii="Arial" w:eastAsia="Times New Roman" w:hAnsi="Arial" w:cs="Arial"/>
          <w:bCs/>
          <w:iCs/>
          <w:color w:val="2088C2"/>
          <w:sz w:val="24"/>
          <w:szCs w:val="24"/>
          <w:lang w:val="es-ES"/>
        </w:rPr>
      </w:pPr>
    </w:p>
    <w:p w14:paraId="7B01E51A" w14:textId="1B68966C" w:rsidR="006A1117" w:rsidRPr="0093767F" w:rsidRDefault="0093767F" w:rsidP="0093767F">
      <w:pPr>
        <w:spacing w:line="360" w:lineRule="auto"/>
        <w:jc w:val="both"/>
        <w:rPr>
          <w:rFonts w:ascii="Arial" w:eastAsia="Times New Roman" w:hAnsi="Arial" w:cs="Arial"/>
          <w:bCs/>
          <w:iCs/>
          <w:color w:val="2088C2"/>
          <w:sz w:val="24"/>
          <w:szCs w:val="24"/>
          <w:lang w:val="es-ES"/>
        </w:rPr>
      </w:pPr>
      <w:r w:rsidRPr="0093767F">
        <w:rPr>
          <w:rFonts w:ascii="Arial" w:eastAsia="Times New Roman" w:hAnsi="Arial" w:cs="Arial"/>
          <w:bCs/>
          <w:iCs/>
          <w:color w:val="2088C2"/>
          <w:sz w:val="24"/>
          <w:szCs w:val="24"/>
          <w:lang w:val="es-ES"/>
        </w:rPr>
        <w:t>Baja la percepción entre los españoles de la existencia de brecha respecto a 2019</w:t>
      </w:r>
    </w:p>
    <w:p w14:paraId="12BF2317"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Contrasta el dato sobre la percepción que la población activa española tiene en relación a la existencia de brecha salarial entre géneros en nuestro país, si lo comparamos con 2019. El Informe de este año refleja que un 66% de los encuestados opina que hombres y mujeres no </w:t>
      </w:r>
      <w:r>
        <w:rPr>
          <w:rFonts w:ascii="Arial" w:eastAsia="Arial" w:hAnsi="Arial" w:cs="Arial"/>
          <w:sz w:val="20"/>
          <w:szCs w:val="20"/>
        </w:rPr>
        <w:lastRenderedPageBreak/>
        <w:t xml:space="preserve">cobran lo mismo a pesar de desempeñar funciones iguales, una cifra que es inferior en 15 puntos porcentuales con respecto a los resultados del mismo Informe de InfoJobs realizado el año pasado, en el que así lo pensaba el 81% de la población activa española. </w:t>
      </w:r>
    </w:p>
    <w:p w14:paraId="49B1DA95" w14:textId="02DB1A16"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Las mujeres y los jóvenes son los más críticos. En este sentido, el 78% de las mujeres señalan que siguen existiendo desigualdades salariales, frente sólo al 53% de los hombres. Por edades, son los jóvenes de entre 16 y 24 años el colectivo que con mayor proporción (75%) afirma que sigue existiendo brecha salarial entre géneros.  </w:t>
      </w:r>
    </w:p>
    <w:p w14:paraId="2A847E6F" w14:textId="77777777" w:rsidR="0093767F" w:rsidRDefault="0093767F" w:rsidP="0093767F">
      <w:pPr>
        <w:spacing w:line="360" w:lineRule="auto"/>
        <w:jc w:val="both"/>
        <w:rPr>
          <w:rFonts w:ascii="Arial" w:eastAsia="Arial" w:hAnsi="Arial" w:cs="Arial"/>
          <w:sz w:val="20"/>
          <w:szCs w:val="20"/>
        </w:rPr>
      </w:pPr>
    </w:p>
    <w:p w14:paraId="471B6CEE" w14:textId="77777777" w:rsidR="006A1117" w:rsidRDefault="0093767F" w:rsidP="0093767F">
      <w:pPr>
        <w:spacing w:line="360" w:lineRule="auto"/>
        <w:jc w:val="center"/>
        <w:rPr>
          <w:rFonts w:ascii="Arial" w:eastAsia="Arial" w:hAnsi="Arial" w:cs="Arial"/>
          <w:sz w:val="20"/>
          <w:szCs w:val="20"/>
        </w:rPr>
      </w:pPr>
      <w:r>
        <w:rPr>
          <w:noProof/>
        </w:rPr>
        <w:drawing>
          <wp:inline distT="0" distB="0" distL="0" distR="0" wp14:anchorId="4D938275" wp14:editId="2F00A9D5">
            <wp:extent cx="4465320" cy="203454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2EC865" w14:textId="77777777" w:rsidR="006A1117" w:rsidRDefault="0093767F" w:rsidP="0093767F">
      <w:pPr>
        <w:spacing w:line="360" w:lineRule="auto"/>
        <w:ind w:firstLine="720"/>
        <w:jc w:val="both"/>
        <w:rPr>
          <w:rFonts w:ascii="Arial" w:eastAsia="Arial" w:hAnsi="Arial" w:cs="Arial"/>
          <w:sz w:val="16"/>
          <w:szCs w:val="16"/>
        </w:rPr>
      </w:pPr>
      <w:r>
        <w:rPr>
          <w:rFonts w:ascii="Arial" w:eastAsia="Arial" w:hAnsi="Arial" w:cs="Arial"/>
          <w:sz w:val="16"/>
          <w:szCs w:val="16"/>
        </w:rPr>
        <w:t>Fuente InfoJobs                                                                                                                      n= 4.463</w:t>
      </w:r>
    </w:p>
    <w:p w14:paraId="66FC1201" w14:textId="77777777" w:rsidR="006A1117" w:rsidRDefault="006A1117" w:rsidP="0093767F">
      <w:pPr>
        <w:spacing w:line="360" w:lineRule="auto"/>
        <w:jc w:val="both"/>
        <w:rPr>
          <w:rFonts w:ascii="Arial" w:eastAsia="Arial" w:hAnsi="Arial" w:cs="Arial"/>
          <w:b/>
          <w:sz w:val="20"/>
          <w:szCs w:val="20"/>
        </w:rPr>
      </w:pPr>
    </w:p>
    <w:p w14:paraId="6F4B9CB5" w14:textId="77777777" w:rsidR="006A1117" w:rsidRPr="0093767F" w:rsidRDefault="0093767F" w:rsidP="0093767F">
      <w:pPr>
        <w:spacing w:line="360" w:lineRule="auto"/>
        <w:jc w:val="both"/>
        <w:rPr>
          <w:rFonts w:ascii="Arial" w:eastAsia="Times New Roman" w:hAnsi="Arial" w:cs="Arial"/>
          <w:bCs/>
          <w:iCs/>
          <w:color w:val="2088C2"/>
          <w:sz w:val="24"/>
          <w:szCs w:val="24"/>
          <w:lang w:val="es-ES"/>
        </w:rPr>
      </w:pPr>
      <w:r w:rsidRPr="0093767F">
        <w:rPr>
          <w:rFonts w:ascii="Arial" w:eastAsia="Times New Roman" w:hAnsi="Arial" w:cs="Arial"/>
          <w:bCs/>
          <w:iCs/>
          <w:color w:val="2088C2"/>
          <w:sz w:val="24"/>
          <w:szCs w:val="24"/>
          <w:lang w:val="es-ES"/>
        </w:rPr>
        <w:t>Baja presencia de mujeres en puestos de liderazgo</w:t>
      </w:r>
    </w:p>
    <w:p w14:paraId="42C7BE9E"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Más de la mitad de la población activa española (55%) considera que las mujeres ocupan sólo entre el 0% y el 20% de los puestos directivos. Un 30% afirma además que ellas ocupan menos de un 5% de estos puestos directivos y un 25% considera que las mujeres ocupan entre el 21% y el 50% de los puestos directivos. De hecho, sólo un 19% considera que las mujeres ocupan más del 50% de los puestos directivos de las empresas. Con estos resultados, se puede afirmar que no solo hay brecha salarial si no que sigue también existiendo el techo de cristal.</w:t>
      </w:r>
    </w:p>
    <w:p w14:paraId="03E89EC6"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Por edad, son los mayores de más de 55 años quienes tienen la percepción de que existe un bajo porcentaje de mujeres en posiciones directivas. El 55% de ellos piensan que las mujeres ocupan entre el 0% y el 20% de cargos directivos y solo el 17% de ellos opinan que ellas ocupan más del 50% de posiciones de altos cargos.</w:t>
      </w:r>
    </w:p>
    <w:p w14:paraId="0E1FD093"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El nivel laboral también influye en la percepción del porcentaje de mujeres en puestos directivos. El 48% de personas con cargos directivos afirman que las mujeres ocupan solo entre el 0% y el </w:t>
      </w:r>
      <w:r>
        <w:rPr>
          <w:rFonts w:ascii="Arial" w:eastAsia="Arial" w:hAnsi="Arial" w:cs="Arial"/>
          <w:sz w:val="20"/>
          <w:szCs w:val="20"/>
        </w:rPr>
        <w:lastRenderedPageBreak/>
        <w:t>20% de la dirección empresarial, frente a los mandos intermedios o empleados cuya percepción es más elevada: un 54% y un 56%, respectivamente, opinan que las mujeres ocupan entre el 0% y el 20% de posiciones directivas.</w:t>
      </w:r>
    </w:p>
    <w:p w14:paraId="7591452E"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Los parados, en un 65%, son quienes más creen que las mujeres ocupan pocos puestos de alto nivel, situándolas en la franja de ocupación del 0% al 20% de cargos directivos. Solo un 14% de ellos cree que las mujeres ocupan más del 50% de los cargos directivos.</w:t>
      </w:r>
    </w:p>
    <w:p w14:paraId="6117F53D" w14:textId="77777777" w:rsidR="006A1117" w:rsidRDefault="006A1117" w:rsidP="0093767F">
      <w:pPr>
        <w:spacing w:line="360" w:lineRule="auto"/>
        <w:jc w:val="both"/>
        <w:rPr>
          <w:rFonts w:ascii="Arial" w:eastAsia="Arial" w:hAnsi="Arial" w:cs="Arial"/>
          <w:sz w:val="16"/>
          <w:szCs w:val="16"/>
        </w:rPr>
      </w:pPr>
    </w:p>
    <w:p w14:paraId="6F2804FE" w14:textId="77777777" w:rsidR="006A1117" w:rsidRDefault="0093767F" w:rsidP="0093767F">
      <w:pPr>
        <w:spacing w:line="360" w:lineRule="auto"/>
        <w:jc w:val="center"/>
        <w:rPr>
          <w:rFonts w:ascii="Arial" w:eastAsia="Arial" w:hAnsi="Arial" w:cs="Arial"/>
          <w:sz w:val="20"/>
          <w:szCs w:val="20"/>
        </w:rPr>
      </w:pPr>
      <w:r>
        <w:rPr>
          <w:noProof/>
        </w:rPr>
        <w:drawing>
          <wp:inline distT="0" distB="0" distL="0" distR="0" wp14:anchorId="4780165D" wp14:editId="17E6BA4A">
            <wp:extent cx="4579620" cy="238506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546A53" w14:textId="77777777" w:rsidR="006A1117" w:rsidRDefault="0093767F" w:rsidP="0093767F">
      <w:pPr>
        <w:spacing w:line="360" w:lineRule="auto"/>
        <w:ind w:firstLine="720"/>
        <w:jc w:val="both"/>
        <w:rPr>
          <w:rFonts w:ascii="Arial" w:eastAsia="Arial" w:hAnsi="Arial" w:cs="Arial"/>
          <w:sz w:val="16"/>
          <w:szCs w:val="16"/>
        </w:rPr>
      </w:pPr>
      <w:r>
        <w:rPr>
          <w:rFonts w:ascii="Arial" w:eastAsia="Arial" w:hAnsi="Arial" w:cs="Arial"/>
          <w:sz w:val="16"/>
          <w:szCs w:val="16"/>
        </w:rPr>
        <w:t>Fuente InfoJobs                                                                                                                      n= 4.463</w:t>
      </w:r>
    </w:p>
    <w:p w14:paraId="5A7FDB47" w14:textId="77777777" w:rsidR="006A1117" w:rsidRDefault="006A1117" w:rsidP="0093767F">
      <w:pPr>
        <w:spacing w:line="360" w:lineRule="auto"/>
        <w:jc w:val="both"/>
        <w:rPr>
          <w:rFonts w:ascii="Arial" w:eastAsia="Arial" w:hAnsi="Arial" w:cs="Arial"/>
          <w:b/>
          <w:sz w:val="16"/>
          <w:szCs w:val="16"/>
        </w:rPr>
      </w:pPr>
    </w:p>
    <w:p w14:paraId="760C06A2" w14:textId="77777777" w:rsidR="006A1117" w:rsidRPr="0093767F" w:rsidRDefault="0093767F" w:rsidP="0093767F">
      <w:pPr>
        <w:spacing w:line="360" w:lineRule="auto"/>
        <w:jc w:val="both"/>
        <w:rPr>
          <w:rFonts w:ascii="Arial" w:eastAsia="Times New Roman" w:hAnsi="Arial" w:cs="Arial"/>
          <w:bCs/>
          <w:iCs/>
          <w:color w:val="2088C2"/>
          <w:sz w:val="24"/>
          <w:szCs w:val="24"/>
          <w:lang w:val="es-ES"/>
        </w:rPr>
      </w:pPr>
      <w:r w:rsidRPr="0093767F">
        <w:rPr>
          <w:rFonts w:ascii="Arial" w:eastAsia="Times New Roman" w:hAnsi="Arial" w:cs="Arial"/>
          <w:bCs/>
          <w:iCs/>
          <w:color w:val="2088C2"/>
          <w:sz w:val="24"/>
          <w:szCs w:val="24"/>
          <w:lang w:val="es-ES"/>
        </w:rPr>
        <w:t>Galicia, la región con mayor población que cree que sigue existiendo brecha salarial</w:t>
      </w:r>
    </w:p>
    <w:p w14:paraId="46677EDF"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Aunque del Informe no se aprecian grandes diferencias entre Comunidades Autónomas, sí se observa que los gallegos son quienes tienen una mayor percepción de la existencia de desigualdad salarial entre géneros (73%). Catalunya y Comunitat Valenciana son las siguientes regiones con gran parte de población activa que cree que sigue existiendo brecha salarial (un 70% en ambas Comunidades Autónomas), junto con Canarias (68%). Madrid es la región con el porcentaje más bajo de población activa que considera que existe diferencia salarial entre géneros (62%). </w:t>
      </w:r>
    </w:p>
    <w:p w14:paraId="0B7AFAF8" w14:textId="77777777" w:rsidR="006A1117" w:rsidRDefault="006A1117" w:rsidP="0093767F">
      <w:pPr>
        <w:spacing w:line="360" w:lineRule="auto"/>
        <w:jc w:val="both"/>
        <w:rPr>
          <w:rFonts w:ascii="Arial" w:eastAsia="Arial" w:hAnsi="Arial" w:cs="Arial"/>
          <w:sz w:val="20"/>
          <w:szCs w:val="20"/>
        </w:rPr>
      </w:pPr>
    </w:p>
    <w:p w14:paraId="07FABA4A" w14:textId="77777777" w:rsidR="006A1117" w:rsidRDefault="0093767F" w:rsidP="0093767F">
      <w:pPr>
        <w:spacing w:line="360" w:lineRule="auto"/>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En relación al estar de acuerdo en tomar medidas de transparencia salarial, tampoco se observan diferencias relevantes, aunque Madrid es también en este sentido la que muestra una menor proporción de población activa española a favor de medidas de transparencia salarial: un 83%, </w:t>
      </w:r>
      <w:r>
        <w:rPr>
          <w:rFonts w:ascii="Arial" w:eastAsia="Arial" w:hAnsi="Arial" w:cs="Arial"/>
          <w:sz w:val="20"/>
          <w:szCs w:val="20"/>
        </w:rPr>
        <w:lastRenderedPageBreak/>
        <w:t>frente a otras Comunidades que presentan un porcentaje ligeramente superior: Andalucía y País Vasco (89%), Catalunya (88%), Canarias y Comunitat Valenciana (85%), Castilla y León (84%) y Aragón (83%).</w:t>
      </w:r>
    </w:p>
    <w:p w14:paraId="38C95338" w14:textId="77777777"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 xml:space="preserve">Sobre la presencia de mujeres en cargos directivos en la empresa donde trabajan, observamos que sólo un 20% de los aragoneses, canarios, gallegos y vascos afirman que las mujeres ocupan más de un 50% de cargos directivos en las empresas donde trabajan. Este porcentaje en Catalunya baja hasta al 16%, siendo la Comunidad Autónoma con menor población activa española que declara que las mujeres ocupan más del 50% en posiciones directivas </w:t>
      </w:r>
    </w:p>
    <w:p w14:paraId="1E8A56E0" w14:textId="2233BDF8" w:rsidR="006A1117" w:rsidRDefault="0093767F" w:rsidP="0093767F">
      <w:pPr>
        <w:spacing w:line="360" w:lineRule="auto"/>
        <w:jc w:val="both"/>
        <w:rPr>
          <w:rFonts w:ascii="Arial" w:eastAsia="Arial" w:hAnsi="Arial" w:cs="Arial"/>
          <w:sz w:val="20"/>
          <w:szCs w:val="20"/>
        </w:rPr>
      </w:pPr>
      <w:r>
        <w:rPr>
          <w:rFonts w:ascii="Arial" w:eastAsia="Arial" w:hAnsi="Arial" w:cs="Arial"/>
          <w:sz w:val="20"/>
          <w:szCs w:val="20"/>
        </w:rPr>
        <w:t>El resto de Comunidades Autónomas presentan datos similares en relación a esta misma valoración. Así, Castilla y León, Madrid y Valencia (19%), junto con Andalucía (17%), señalan que las mujeres ocupan más de un 50% de cargos directivos en las empresas donde trabajan.</w:t>
      </w:r>
    </w:p>
    <w:p w14:paraId="1FB9B0A9" w14:textId="77777777" w:rsidR="006A1117" w:rsidRDefault="006A1117">
      <w:pPr>
        <w:spacing w:line="252" w:lineRule="auto"/>
        <w:jc w:val="both"/>
        <w:rPr>
          <w:rFonts w:ascii="Arial" w:eastAsia="Arial" w:hAnsi="Arial" w:cs="Arial"/>
          <w:sz w:val="20"/>
          <w:szCs w:val="20"/>
        </w:rPr>
      </w:pPr>
    </w:p>
    <w:p w14:paraId="31BB16CA" w14:textId="77777777" w:rsidR="006A1117" w:rsidRPr="0093767F" w:rsidRDefault="0093767F" w:rsidP="0093767F">
      <w:pPr>
        <w:spacing w:line="360" w:lineRule="auto"/>
        <w:jc w:val="both"/>
        <w:rPr>
          <w:rFonts w:ascii="Arial" w:eastAsia="Arial" w:hAnsi="Arial" w:cs="Arial"/>
          <w:color w:val="808080"/>
          <w:sz w:val="18"/>
          <w:szCs w:val="18"/>
          <w:u w:val="single"/>
        </w:rPr>
      </w:pPr>
      <w:r w:rsidRPr="0093767F">
        <w:rPr>
          <w:rFonts w:ascii="Arial" w:eastAsia="Arial" w:hAnsi="Arial" w:cs="Arial"/>
          <w:color w:val="808080"/>
          <w:sz w:val="18"/>
          <w:szCs w:val="18"/>
          <w:u w:val="single"/>
        </w:rPr>
        <w:t>Sobre InfoJobs</w:t>
      </w:r>
    </w:p>
    <w:p w14:paraId="71662397" w14:textId="77777777" w:rsidR="006A1117" w:rsidRPr="0093767F" w:rsidRDefault="0093767F" w:rsidP="0093767F">
      <w:pPr>
        <w:spacing w:line="360" w:lineRule="auto"/>
        <w:jc w:val="both"/>
        <w:rPr>
          <w:rFonts w:ascii="Arial" w:eastAsia="Arial" w:hAnsi="Arial" w:cs="Arial"/>
          <w:color w:val="808080"/>
          <w:sz w:val="18"/>
          <w:szCs w:val="18"/>
        </w:rPr>
      </w:pPr>
      <w:r w:rsidRPr="0093767F">
        <w:rPr>
          <w:rFonts w:ascii="Arial" w:eastAsia="Arial" w:hAnsi="Arial" w:cs="Arial"/>
          <w:color w:val="808080"/>
          <w:sz w:val="18"/>
          <w:szCs w:val="18"/>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sidRPr="0093767F">
        <w:rPr>
          <w:rFonts w:ascii="Arial" w:eastAsia="Arial" w:hAnsi="Arial" w:cs="Arial"/>
          <w:color w:val="808080"/>
          <w:sz w:val="18"/>
          <w:szCs w:val="18"/>
        </w:rPr>
        <w:t>Analytics</w:t>
      </w:r>
      <w:proofErr w:type="spellEnd"/>
      <w:r w:rsidRPr="0093767F">
        <w:rPr>
          <w:rFonts w:ascii="Arial" w:eastAsia="Arial" w:hAnsi="Arial" w:cs="Arial"/>
          <w:color w:val="808080"/>
          <w:sz w:val="18"/>
          <w:szCs w:val="18"/>
        </w:rPr>
        <w:t xml:space="preserve"> 2019).</w:t>
      </w:r>
    </w:p>
    <w:p w14:paraId="76703A62" w14:textId="77777777" w:rsidR="006A1117" w:rsidRPr="0093767F" w:rsidRDefault="0093767F" w:rsidP="0093767F">
      <w:pPr>
        <w:shd w:val="clear" w:color="auto" w:fill="FFFFFF"/>
        <w:spacing w:line="360" w:lineRule="auto"/>
        <w:jc w:val="both"/>
        <w:rPr>
          <w:sz w:val="18"/>
          <w:szCs w:val="18"/>
        </w:rPr>
      </w:pPr>
      <w:r w:rsidRPr="0093767F">
        <w:rPr>
          <w:rFonts w:ascii="Arial" w:eastAsia="Arial" w:hAnsi="Arial" w:cs="Arial"/>
          <w:color w:val="808080"/>
          <w:sz w:val="18"/>
          <w:szCs w:val="18"/>
        </w:rPr>
        <w:t xml:space="preserve">InfoJobs pertenece a Adevinta, una compañía líder en </w:t>
      </w:r>
      <w:proofErr w:type="spellStart"/>
      <w:r w:rsidRPr="0093767F">
        <w:rPr>
          <w:rFonts w:ascii="Arial" w:eastAsia="Arial" w:hAnsi="Arial" w:cs="Arial"/>
          <w:color w:val="808080"/>
          <w:sz w:val="18"/>
          <w:szCs w:val="18"/>
        </w:rPr>
        <w:t>marketplaces</w:t>
      </w:r>
      <w:proofErr w:type="spellEnd"/>
      <w:r w:rsidRPr="0093767F">
        <w:rPr>
          <w:rFonts w:ascii="Arial" w:eastAsia="Arial" w:hAnsi="Arial" w:cs="Arial"/>
          <w:color w:val="808080"/>
          <w:sz w:val="18"/>
          <w:szCs w:val="18"/>
        </w:rPr>
        <w:t xml:space="preserve"> digitales y una de las principales empresas del sector tecnológico del país, con más de 18 millones de usuarios al mes en sus plataformas de los sectores inmobiliario (</w:t>
      </w:r>
      <w:hyperlink r:id="rId12">
        <w:r w:rsidRPr="0093767F">
          <w:rPr>
            <w:rFonts w:ascii="Arial" w:eastAsia="Arial" w:hAnsi="Arial" w:cs="Arial"/>
            <w:color w:val="808080"/>
            <w:sz w:val="18"/>
            <w:szCs w:val="18"/>
          </w:rPr>
          <w:t>Fotocasa</w:t>
        </w:r>
      </w:hyperlink>
      <w:r w:rsidRPr="0093767F">
        <w:rPr>
          <w:rFonts w:ascii="Arial" w:eastAsia="Arial" w:hAnsi="Arial" w:cs="Arial"/>
          <w:color w:val="808080"/>
          <w:sz w:val="18"/>
          <w:szCs w:val="18"/>
        </w:rPr>
        <w:t xml:space="preserve"> y </w:t>
      </w:r>
      <w:hyperlink r:id="rId13">
        <w:proofErr w:type="spellStart"/>
        <w:r w:rsidRPr="0093767F">
          <w:rPr>
            <w:rFonts w:ascii="Arial" w:eastAsia="Arial" w:hAnsi="Arial" w:cs="Arial"/>
            <w:color w:val="808080"/>
            <w:sz w:val="18"/>
            <w:szCs w:val="18"/>
          </w:rPr>
          <w:t>habitaclia</w:t>
        </w:r>
        <w:proofErr w:type="spellEnd"/>
      </w:hyperlink>
      <w:r w:rsidRPr="0093767F">
        <w:rPr>
          <w:rFonts w:ascii="Arial" w:eastAsia="Arial" w:hAnsi="Arial" w:cs="Arial"/>
          <w:color w:val="808080"/>
          <w:sz w:val="18"/>
          <w:szCs w:val="18"/>
        </w:rPr>
        <w:t>), empleo (</w:t>
      </w:r>
      <w:hyperlink r:id="rId14">
        <w:r w:rsidRPr="0093767F">
          <w:rPr>
            <w:rFonts w:ascii="Arial" w:eastAsia="Arial" w:hAnsi="Arial" w:cs="Arial"/>
            <w:color w:val="808080"/>
            <w:sz w:val="18"/>
            <w:szCs w:val="18"/>
          </w:rPr>
          <w:t>InfoJobs</w:t>
        </w:r>
      </w:hyperlink>
      <w:r w:rsidRPr="0093767F">
        <w:rPr>
          <w:rFonts w:ascii="Arial" w:eastAsia="Arial" w:hAnsi="Arial" w:cs="Arial"/>
          <w:color w:val="808080"/>
          <w:sz w:val="18"/>
          <w:szCs w:val="18"/>
        </w:rPr>
        <w:t>), motor (</w:t>
      </w:r>
      <w:hyperlink r:id="rId15">
        <w:r w:rsidRPr="0093767F">
          <w:rPr>
            <w:rFonts w:ascii="Arial" w:eastAsia="Arial" w:hAnsi="Arial" w:cs="Arial"/>
            <w:color w:val="808080"/>
            <w:sz w:val="18"/>
            <w:szCs w:val="18"/>
          </w:rPr>
          <w:t>coches.net</w:t>
        </w:r>
      </w:hyperlink>
      <w:r w:rsidRPr="0093767F">
        <w:rPr>
          <w:rFonts w:ascii="Arial" w:eastAsia="Arial" w:hAnsi="Arial" w:cs="Arial"/>
          <w:color w:val="808080"/>
          <w:sz w:val="18"/>
          <w:szCs w:val="18"/>
        </w:rPr>
        <w:t xml:space="preserve"> y </w:t>
      </w:r>
      <w:hyperlink r:id="rId16">
        <w:r w:rsidRPr="0093767F">
          <w:rPr>
            <w:rFonts w:ascii="Arial" w:eastAsia="Arial" w:hAnsi="Arial" w:cs="Arial"/>
            <w:color w:val="808080"/>
            <w:sz w:val="18"/>
            <w:szCs w:val="18"/>
          </w:rPr>
          <w:t>motos.net</w:t>
        </w:r>
      </w:hyperlink>
      <w:r w:rsidRPr="0093767F">
        <w:rPr>
          <w:rFonts w:ascii="Arial" w:eastAsia="Arial" w:hAnsi="Arial" w:cs="Arial"/>
          <w:color w:val="808080"/>
          <w:sz w:val="18"/>
          <w:szCs w:val="18"/>
        </w:rPr>
        <w:t>) y compraventa de artículos de segunda mano (</w:t>
      </w:r>
      <w:proofErr w:type="spellStart"/>
      <w:r w:rsidRPr="0093767F">
        <w:rPr>
          <w:sz w:val="18"/>
          <w:szCs w:val="18"/>
        </w:rPr>
        <w:fldChar w:fldCharType="begin"/>
      </w:r>
      <w:r w:rsidRPr="0093767F">
        <w:rPr>
          <w:sz w:val="18"/>
          <w:szCs w:val="18"/>
        </w:rPr>
        <w:instrText xml:space="preserve"> HYPERLINK "https://www.milanuncios.com/" \h </w:instrText>
      </w:r>
      <w:r w:rsidRPr="0093767F">
        <w:rPr>
          <w:sz w:val="18"/>
          <w:szCs w:val="18"/>
        </w:rPr>
        <w:fldChar w:fldCharType="separate"/>
      </w:r>
      <w:r w:rsidRPr="0093767F">
        <w:rPr>
          <w:rFonts w:ascii="Arial" w:eastAsia="Arial" w:hAnsi="Arial" w:cs="Arial"/>
          <w:color w:val="808080"/>
          <w:sz w:val="18"/>
          <w:szCs w:val="18"/>
        </w:rPr>
        <w:t>Milanuncios</w:t>
      </w:r>
      <w:proofErr w:type="spellEnd"/>
      <w:r w:rsidRPr="0093767F">
        <w:rPr>
          <w:rFonts w:ascii="Arial" w:eastAsia="Arial" w:hAnsi="Arial" w:cs="Arial"/>
          <w:color w:val="808080"/>
          <w:sz w:val="18"/>
          <w:szCs w:val="18"/>
        </w:rPr>
        <w:fldChar w:fldCharType="end"/>
      </w:r>
      <w:r w:rsidRPr="0093767F">
        <w:rPr>
          <w:rFonts w:ascii="Arial" w:eastAsia="Arial" w:hAnsi="Arial" w:cs="Arial"/>
          <w:color w:val="808080"/>
          <w:sz w:val="18"/>
          <w:szCs w:val="18"/>
        </w:rPr>
        <w:t xml:space="preserve"> y </w:t>
      </w:r>
      <w:hyperlink r:id="rId17">
        <w:proofErr w:type="spellStart"/>
        <w:r w:rsidRPr="0093767F">
          <w:rPr>
            <w:rFonts w:ascii="Arial" w:eastAsia="Arial" w:hAnsi="Arial" w:cs="Arial"/>
            <w:color w:val="808080"/>
            <w:sz w:val="18"/>
            <w:szCs w:val="18"/>
          </w:rPr>
          <w:t>vibbo</w:t>
        </w:r>
        <w:proofErr w:type="spellEnd"/>
      </w:hyperlink>
      <w:r w:rsidRPr="0093767F">
        <w:rPr>
          <w:rFonts w:ascii="Arial" w:eastAsia="Arial" w:hAnsi="Arial" w:cs="Arial"/>
          <w:color w:val="808080"/>
          <w:sz w:val="18"/>
          <w:szCs w:val="18"/>
        </w:rPr>
        <w:t>).</w:t>
      </w:r>
    </w:p>
    <w:p w14:paraId="4A7CBC69" w14:textId="73ECF3CC" w:rsidR="006A1117" w:rsidRPr="0093767F" w:rsidRDefault="0093767F" w:rsidP="0093767F">
      <w:pPr>
        <w:shd w:val="clear" w:color="auto" w:fill="FFFFFF"/>
        <w:spacing w:line="360" w:lineRule="auto"/>
        <w:jc w:val="both"/>
        <w:rPr>
          <w:sz w:val="18"/>
          <w:szCs w:val="18"/>
        </w:rPr>
      </w:pPr>
      <w:r w:rsidRPr="0093767F">
        <w:rPr>
          <w:rFonts w:ascii="Arial" w:eastAsia="Arial" w:hAnsi="Arial" w:cs="Arial"/>
          <w:color w:val="808080"/>
          <w:sz w:val="18"/>
          <w:szCs w:val="18"/>
        </w:rPr>
        <w:t xml:space="preserve">Adevinta en España, antes Schibsted Spain, cuenta con una plantilla de más de 1.100 empleados. Además de en España, Adevinta tiene presencia en 14 países más de Europa, América Latina y África del Norte. El conjunto de sus plataformas locales recibe un promedio de 1.500 millones de visitas cada mes. Más información en </w:t>
      </w:r>
      <w:hyperlink r:id="rId18">
        <w:r w:rsidRPr="0093767F">
          <w:rPr>
            <w:rFonts w:ascii="Arial" w:eastAsia="Arial" w:hAnsi="Arial" w:cs="Arial"/>
            <w:color w:val="808080"/>
            <w:sz w:val="18"/>
            <w:szCs w:val="18"/>
            <w:u w:val="single"/>
          </w:rPr>
          <w:t>adevinta.es</w:t>
        </w:r>
      </w:hyperlink>
      <w:r w:rsidRPr="0093767F">
        <w:rPr>
          <w:rFonts w:ascii="Arial" w:eastAsia="Arial" w:hAnsi="Arial" w:cs="Arial"/>
          <w:color w:val="808080"/>
          <w:sz w:val="18"/>
          <w:szCs w:val="18"/>
        </w:rPr>
        <w:t>.</w:t>
      </w:r>
    </w:p>
    <w:p w14:paraId="2E54D6E5" w14:textId="77777777" w:rsidR="006A1117" w:rsidRDefault="0093767F">
      <w:pPr>
        <w:spacing w:line="252" w:lineRule="auto"/>
        <w:rPr>
          <w:rFonts w:ascii="Arial" w:eastAsia="Arial" w:hAnsi="Arial" w:cs="Arial"/>
          <w:sz w:val="20"/>
          <w:szCs w:val="20"/>
        </w:rPr>
      </w:pPr>
      <w:r>
        <w:rPr>
          <w:rFonts w:ascii="Arial" w:eastAsia="Arial" w:hAnsi="Arial" w:cs="Arial"/>
          <w:sz w:val="16"/>
          <w:szCs w:val="16"/>
        </w:rPr>
        <w:t xml:space="preserve">    </w:t>
      </w:r>
    </w:p>
    <w:p w14:paraId="37178016" w14:textId="735444E3" w:rsidR="00A62798" w:rsidRDefault="0093767F" w:rsidP="00B97EEC">
      <w:pPr>
        <w:spacing w:after="0"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279FCFEB" w14:textId="6B632A73" w:rsidR="006A1117" w:rsidRDefault="0093767F" w:rsidP="00B97EEC">
      <w:pPr>
        <w:pBdr>
          <w:top w:val="nil"/>
          <w:left w:val="nil"/>
          <w:bottom w:val="nil"/>
          <w:right w:val="nil"/>
          <w:between w:val="nil"/>
        </w:pBdr>
        <w:spacing w:after="0" w:line="360" w:lineRule="auto"/>
        <w:jc w:val="both"/>
        <w:rPr>
          <w:rFonts w:ascii="Arial" w:eastAsia="Arial" w:hAnsi="Arial" w:cs="Arial"/>
          <w:color w:val="808080"/>
          <w:sz w:val="18"/>
          <w:szCs w:val="18"/>
        </w:rPr>
      </w:pPr>
      <w:r>
        <w:rPr>
          <w:rFonts w:ascii="Arial" w:eastAsia="Arial" w:hAnsi="Arial" w:cs="Arial"/>
          <w:color w:val="7F7F7F"/>
          <w:sz w:val="18"/>
          <w:szCs w:val="18"/>
        </w:rPr>
        <w:t xml:space="preserve">Marta Sevilla / </w:t>
      </w:r>
      <w:r w:rsidR="00B97EEC">
        <w:rPr>
          <w:rFonts w:ascii="Arial" w:eastAsia="Arial" w:hAnsi="Arial" w:cs="Arial"/>
          <w:color w:val="7F7F7F"/>
          <w:sz w:val="18"/>
          <w:szCs w:val="18"/>
        </w:rPr>
        <w:t xml:space="preserve">Xènia </w:t>
      </w:r>
      <w:proofErr w:type="gramStart"/>
      <w:r w:rsidR="00B97EEC">
        <w:rPr>
          <w:rFonts w:ascii="Arial" w:eastAsia="Arial" w:hAnsi="Arial" w:cs="Arial"/>
          <w:color w:val="7F7F7F"/>
          <w:sz w:val="18"/>
          <w:szCs w:val="18"/>
        </w:rPr>
        <w:t>Gallego</w:t>
      </w:r>
      <w:proofErr w:type="gramEnd"/>
    </w:p>
    <w:p w14:paraId="15ADF060" w14:textId="77777777" w:rsidR="00A62798" w:rsidRDefault="00B97EEC" w:rsidP="00B97EEC">
      <w:pPr>
        <w:spacing w:after="0" w:line="360" w:lineRule="auto"/>
        <w:jc w:val="both"/>
        <w:rPr>
          <w:rFonts w:ascii="Arial" w:eastAsia="Arial" w:hAnsi="Arial" w:cs="Arial"/>
          <w:color w:val="0070C0"/>
          <w:sz w:val="18"/>
          <w:szCs w:val="18"/>
        </w:rPr>
      </w:pPr>
      <w:hyperlink r:id="rId19">
        <w:r w:rsidR="0093767F">
          <w:rPr>
            <w:rFonts w:ascii="Arial" w:eastAsia="Arial" w:hAnsi="Arial" w:cs="Arial"/>
            <w:b/>
            <w:color w:val="0070C0"/>
            <w:sz w:val="18"/>
            <w:szCs w:val="18"/>
          </w:rPr>
          <w:t>infojobs@evercom.es</w:t>
        </w:r>
      </w:hyperlink>
    </w:p>
    <w:p w14:paraId="2310AED3" w14:textId="4CEB497F" w:rsidR="006A1117" w:rsidRPr="00A62798" w:rsidRDefault="0093767F" w:rsidP="00B97EEC">
      <w:pPr>
        <w:spacing w:after="0" w:line="360" w:lineRule="auto"/>
        <w:jc w:val="both"/>
        <w:rPr>
          <w:rFonts w:ascii="Arial" w:eastAsia="Arial" w:hAnsi="Arial" w:cs="Arial"/>
          <w:color w:val="7F7F7F"/>
          <w:sz w:val="18"/>
          <w:szCs w:val="18"/>
        </w:rPr>
      </w:pPr>
      <w:r>
        <w:rPr>
          <w:rFonts w:ascii="Arial" w:eastAsia="Arial" w:hAnsi="Arial" w:cs="Arial"/>
          <w:color w:val="808080"/>
          <w:sz w:val="16"/>
          <w:szCs w:val="16"/>
        </w:rPr>
        <w:t xml:space="preserve">T. </w:t>
      </w:r>
      <w:r>
        <w:rPr>
          <w:rFonts w:ascii="Arial" w:eastAsia="Arial" w:hAnsi="Arial" w:cs="Arial"/>
          <w:color w:val="7F7F7F"/>
          <w:sz w:val="18"/>
          <w:szCs w:val="18"/>
        </w:rPr>
        <w:t>34 93 415 37 05 - 676 86 98 56</w:t>
      </w:r>
    </w:p>
    <w:sectPr w:rsidR="006A1117" w:rsidRPr="00A62798">
      <w:headerReference w:type="default" r:id="rId20"/>
      <w:footerReference w:type="default" r:id="rId21"/>
      <w:pgSz w:w="11906" w:h="16838"/>
      <w:pgMar w:top="1417" w:right="1701" w:bottom="1417" w:left="1701" w:header="68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1BEC8" w14:textId="77777777" w:rsidR="002623F4" w:rsidRDefault="0093767F">
      <w:pPr>
        <w:spacing w:after="0" w:line="240" w:lineRule="auto"/>
      </w:pPr>
      <w:r>
        <w:separator/>
      </w:r>
    </w:p>
  </w:endnote>
  <w:endnote w:type="continuationSeparator" w:id="0">
    <w:p w14:paraId="4692B14B" w14:textId="77777777" w:rsidR="002623F4" w:rsidRDefault="0093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F645" w14:textId="77777777" w:rsidR="006A1117" w:rsidRDefault="006A1117">
    <w:pPr>
      <w:widowControl w:val="0"/>
      <w:pBdr>
        <w:top w:val="nil"/>
        <w:left w:val="nil"/>
        <w:bottom w:val="nil"/>
        <w:right w:val="nil"/>
        <w:between w:val="nil"/>
      </w:pBdr>
      <w:spacing w:after="0" w:line="276" w:lineRule="auto"/>
      <w:rPr>
        <w:color w:val="000000"/>
      </w:rPr>
    </w:pPr>
  </w:p>
  <w:tbl>
    <w:tblPr>
      <w:tblStyle w:val="a1"/>
      <w:tblW w:w="8045" w:type="dxa"/>
      <w:tblInd w:w="0" w:type="dxa"/>
      <w:tblLayout w:type="fixed"/>
      <w:tblLook w:val="0400" w:firstRow="0" w:lastRow="0" w:firstColumn="0" w:lastColumn="0" w:noHBand="0" w:noVBand="1"/>
    </w:tblPr>
    <w:tblGrid>
      <w:gridCol w:w="5243"/>
      <w:gridCol w:w="2802"/>
    </w:tblGrid>
    <w:tr w:rsidR="006A1117" w14:paraId="5802DF89" w14:textId="77777777">
      <w:trPr>
        <w:trHeight w:val="624"/>
      </w:trPr>
      <w:tc>
        <w:tcPr>
          <w:tcW w:w="5243" w:type="dxa"/>
          <w:tcBorders>
            <w:right w:val="single" w:sz="4" w:space="0" w:color="5B9BD5"/>
          </w:tcBorders>
        </w:tcPr>
        <w:p w14:paraId="37C2A04A" w14:textId="52ED6EE9" w:rsidR="006A1117" w:rsidRDefault="0067748D">
          <w:pPr>
            <w:tabs>
              <w:tab w:val="left" w:pos="620"/>
              <w:tab w:val="center" w:pos="4320"/>
            </w:tabs>
            <w:rPr>
              <w:sz w:val="20"/>
              <w:szCs w:val="20"/>
            </w:rPr>
          </w:pPr>
          <w:r>
            <w:rPr>
              <w:sz w:val="20"/>
              <w:szCs w:val="20"/>
              <w:vertAlign w:val="superscript"/>
            </w:rPr>
            <w:t>1</w:t>
          </w:r>
          <w:r>
            <w:rPr>
              <w:rFonts w:ascii="Arial" w:eastAsia="Arial" w:hAnsi="Arial" w:cs="Arial"/>
              <w:sz w:val="16"/>
              <w:szCs w:val="16"/>
            </w:rPr>
            <w:t xml:space="preserve"> </w:t>
          </w:r>
          <w:proofErr w:type="gramStart"/>
          <w:r>
            <w:rPr>
              <w:rFonts w:ascii="Arial" w:eastAsia="Arial" w:hAnsi="Arial" w:cs="Arial"/>
              <w:sz w:val="16"/>
              <w:szCs w:val="16"/>
            </w:rPr>
            <w:t>Nota</w:t>
          </w:r>
          <w:proofErr w:type="gramEnd"/>
          <w:r>
            <w:rPr>
              <w:rFonts w:ascii="Arial" w:eastAsia="Arial" w:hAnsi="Arial" w:cs="Arial"/>
              <w:sz w:val="16"/>
              <w:szCs w:val="16"/>
            </w:rPr>
            <w:t xml:space="preserve"> metodológica: </w:t>
          </w:r>
          <w:r>
            <w:rPr>
              <w:rFonts w:ascii="Arial" w:eastAsia="Arial" w:hAnsi="Arial" w:cs="Arial"/>
              <w:sz w:val="14"/>
              <w:szCs w:val="14"/>
            </w:rPr>
            <w:t>Encuesta online a población activa, realizada en febrero 2020, a un panel independiente de población española. La muestra es de 4.463 personas y es representativa del total de la población activa (Fuente: EPA 2019T4) por edad, sexo, situación laboral y CCAA. Error muestral: 1,5% para un intervalo de confianza del 95%</w:t>
          </w:r>
        </w:p>
      </w:tc>
      <w:tc>
        <w:tcPr>
          <w:tcW w:w="2802" w:type="dxa"/>
          <w:tcBorders>
            <w:left w:val="single" w:sz="4" w:space="0" w:color="5B9BD5"/>
          </w:tcBorders>
        </w:tcPr>
        <w:p w14:paraId="408C0E06" w14:textId="77777777" w:rsidR="006A1117" w:rsidRDefault="0093767F">
          <w:pPr>
            <w:tabs>
              <w:tab w:val="left" w:pos="1490"/>
            </w:tabs>
            <w:rPr>
              <w:sz w:val="28"/>
              <w:szCs w:val="28"/>
            </w:rPr>
          </w:pPr>
          <w:r>
            <w:fldChar w:fldCharType="begin"/>
          </w:r>
          <w:r>
            <w:instrText>PAGE</w:instrText>
          </w:r>
          <w:r>
            <w:fldChar w:fldCharType="separate"/>
          </w:r>
          <w:r>
            <w:rPr>
              <w:noProof/>
            </w:rPr>
            <w:t>1</w:t>
          </w:r>
          <w:r>
            <w:fldChar w:fldCharType="end"/>
          </w:r>
        </w:p>
      </w:tc>
    </w:tr>
  </w:tbl>
  <w:p w14:paraId="01465F11" w14:textId="77777777" w:rsidR="006A1117" w:rsidRDefault="006A111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6DD2" w14:textId="77777777" w:rsidR="002623F4" w:rsidRDefault="0093767F">
      <w:pPr>
        <w:spacing w:after="0" w:line="240" w:lineRule="auto"/>
      </w:pPr>
      <w:r>
        <w:separator/>
      </w:r>
    </w:p>
  </w:footnote>
  <w:footnote w:type="continuationSeparator" w:id="0">
    <w:p w14:paraId="57745DA2" w14:textId="77777777" w:rsidR="002623F4" w:rsidRDefault="0093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0B11" w14:textId="0C2BA24E" w:rsidR="006A1117" w:rsidRDefault="0093767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23ABEF24" wp14:editId="57438EC9">
          <wp:simplePos x="0" y="0"/>
          <wp:positionH relativeFrom="column">
            <wp:posOffset>-336550</wp:posOffset>
          </wp:positionH>
          <wp:positionV relativeFrom="paragraph">
            <wp:posOffset>-239395</wp:posOffset>
          </wp:positionV>
          <wp:extent cx="1628775" cy="706120"/>
          <wp:effectExtent l="0" t="0" r="0" b="0"/>
          <wp:wrapSquare wrapText="bothSides" distT="0" distB="0" distL="114300" distR="114300"/>
          <wp:docPr id="10" name="image1.png" descr="ij-logo_default_primary"/>
          <wp:cNvGraphicFramePr/>
          <a:graphic xmlns:a="http://schemas.openxmlformats.org/drawingml/2006/main">
            <a:graphicData uri="http://schemas.openxmlformats.org/drawingml/2006/picture">
              <pic:pic xmlns:pic="http://schemas.openxmlformats.org/drawingml/2006/picture">
                <pic:nvPicPr>
                  <pic:cNvPr id="0" name="image1.png" descr="ij-logo_default_primary"/>
                  <pic:cNvPicPr preferRelativeResize="0"/>
                </pic:nvPicPr>
                <pic:blipFill>
                  <a:blip r:embed="rId1"/>
                  <a:srcRect/>
                  <a:stretch>
                    <a:fillRect/>
                  </a:stretch>
                </pic:blipFill>
                <pic:spPr>
                  <a:xfrm>
                    <a:off x="0" y="0"/>
                    <a:ext cx="1628775" cy="706120"/>
                  </a:xfrm>
                  <a:prstGeom prst="rect">
                    <a:avLst/>
                  </a:prstGeom>
                  <a:ln/>
                </pic:spPr>
              </pic:pic>
            </a:graphicData>
          </a:graphic>
        </wp:anchor>
      </w:drawing>
    </w:r>
    <w:r>
      <w:rPr>
        <w:noProof/>
      </w:rPr>
      <w:drawing>
        <wp:anchor distT="152400" distB="152400" distL="152400" distR="152400" simplePos="0" relativeHeight="251659264" behindDoc="0" locked="0" layoutInCell="1" hidden="0" allowOverlap="1" wp14:anchorId="663697F5" wp14:editId="2D060201">
          <wp:simplePos x="0" y="0"/>
          <wp:positionH relativeFrom="column">
            <wp:posOffset>4806315</wp:posOffset>
          </wp:positionH>
          <wp:positionV relativeFrom="paragraph">
            <wp:posOffset>-434340</wp:posOffset>
          </wp:positionV>
          <wp:extent cx="720001" cy="720001"/>
          <wp:effectExtent l="0" t="0" r="0" b="0"/>
          <wp:wrapSquare wrapText="bothSides" distT="152400" distB="152400" distL="152400" distR="1524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r>
      <w:rPr>
        <w:rFonts w:ascii="Times New Roman" w:eastAsia="Times New Roman" w:hAnsi="Times New Roman" w:cs="Times New Roman"/>
        <w:color w:val="000000"/>
        <w:sz w:val="24"/>
        <w:szCs w:val="24"/>
      </w:rPr>
      <w:t xml:space="preserve"> </w:t>
    </w:r>
  </w:p>
  <w:p w14:paraId="62607892" w14:textId="77777777" w:rsidR="006A1117" w:rsidRDefault="006A1117">
    <w:pPr>
      <w:pBdr>
        <w:top w:val="nil"/>
        <w:left w:val="nil"/>
        <w:bottom w:val="nil"/>
        <w:right w:val="nil"/>
        <w:between w:val="nil"/>
      </w:pBdr>
      <w:tabs>
        <w:tab w:val="center" w:pos="4252"/>
        <w:tab w:val="right" w:pos="8504"/>
      </w:tabs>
      <w:spacing w:after="0" w:line="240" w:lineRule="auto"/>
      <w:rPr>
        <w:color w:val="000000"/>
      </w:rPr>
    </w:pPr>
  </w:p>
  <w:p w14:paraId="29FE5A5F" w14:textId="77777777" w:rsidR="006A1117" w:rsidRDefault="006A1117">
    <w:pPr>
      <w:pBdr>
        <w:top w:val="nil"/>
        <w:left w:val="nil"/>
        <w:bottom w:val="nil"/>
        <w:right w:val="nil"/>
        <w:between w:val="nil"/>
      </w:pBdr>
      <w:tabs>
        <w:tab w:val="center" w:pos="4252"/>
        <w:tab w:val="right" w:pos="8504"/>
      </w:tabs>
      <w:spacing w:after="0" w:line="240" w:lineRule="auto"/>
      <w:rPr>
        <w:color w:val="000000"/>
      </w:rPr>
    </w:pPr>
  </w:p>
  <w:p w14:paraId="1DDDC67B" w14:textId="77777777" w:rsidR="006A1117" w:rsidRDefault="006A111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61AD7"/>
    <w:multiLevelType w:val="multilevel"/>
    <w:tmpl w:val="DCE24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17"/>
    <w:rsid w:val="002623F4"/>
    <w:rsid w:val="0067748D"/>
    <w:rsid w:val="006A1117"/>
    <w:rsid w:val="0093767F"/>
    <w:rsid w:val="00A62798"/>
    <w:rsid w:val="00B97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C0E2"/>
  <w15:docId w15:val="{0F2CF18D-DFA8-4FC4-AE3A-C2A577D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41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3D8"/>
  </w:style>
  <w:style w:type="paragraph" w:styleId="Piedepgina">
    <w:name w:val="footer"/>
    <w:basedOn w:val="Normal"/>
    <w:link w:val="PiedepginaCar"/>
    <w:uiPriority w:val="99"/>
    <w:unhideWhenUsed/>
    <w:rsid w:val="00141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3D8"/>
  </w:style>
  <w:style w:type="character" w:styleId="Hipervnculo">
    <w:name w:val="Hyperlink"/>
    <w:basedOn w:val="Fuentedeprrafopredeter"/>
    <w:uiPriority w:val="99"/>
    <w:unhideWhenUsed/>
    <w:rsid w:val="001413D8"/>
    <w:rPr>
      <w:color w:val="0563C1" w:themeColor="hyperlink"/>
      <w:u w:val="single"/>
    </w:rPr>
  </w:style>
  <w:style w:type="paragraph" w:styleId="Prrafodelista">
    <w:name w:val="List Paragraph"/>
    <w:basedOn w:val="Normal"/>
    <w:uiPriority w:val="34"/>
    <w:qFormat/>
    <w:rsid w:val="001413D8"/>
    <w:pPr>
      <w:ind w:left="720"/>
      <w:contextualSpacing/>
    </w:pPr>
  </w:style>
  <w:style w:type="paragraph" w:styleId="Sinespaciado">
    <w:name w:val="No Spacing"/>
    <w:link w:val="SinespaciadoCar"/>
    <w:uiPriority w:val="1"/>
    <w:qFormat/>
    <w:rsid w:val="001413D8"/>
    <w:pPr>
      <w:spacing w:after="0" w:line="240" w:lineRule="auto"/>
    </w:pPr>
    <w:rPr>
      <w:rFonts w:ascii="Cambria" w:eastAsia="MS Mincho" w:hAnsi="Cambria" w:cs="Times New Roman"/>
      <w:sz w:val="24"/>
      <w:szCs w:val="24"/>
    </w:rPr>
  </w:style>
  <w:style w:type="paragraph" w:customStyle="1" w:styleId="Cuerpo">
    <w:name w:val="Cuerpo"/>
    <w:rsid w:val="001413D8"/>
    <w:pPr>
      <w:pBdr>
        <w:top w:val="nil"/>
        <w:left w:val="nil"/>
        <w:bottom w:val="nil"/>
        <w:right w:val="nil"/>
        <w:between w:val="nil"/>
        <w:bar w:val="nil"/>
      </w:pBdr>
      <w:spacing w:after="200" w:line="276" w:lineRule="auto"/>
    </w:pPr>
    <w:rPr>
      <w:color w:val="000000"/>
      <w:u w:color="000000"/>
      <w:bdr w:val="nil"/>
    </w:rPr>
  </w:style>
  <w:style w:type="character" w:customStyle="1" w:styleId="SinespaciadoCar">
    <w:name w:val="Sin espaciado Car"/>
    <w:link w:val="Sinespaciado"/>
    <w:uiPriority w:val="1"/>
    <w:rsid w:val="001413D8"/>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1413D8"/>
    <w:rPr>
      <w:sz w:val="16"/>
      <w:szCs w:val="16"/>
    </w:rPr>
  </w:style>
  <w:style w:type="paragraph" w:styleId="Textocomentario">
    <w:name w:val="annotation text"/>
    <w:basedOn w:val="Normal"/>
    <w:link w:val="TextocomentarioCar"/>
    <w:uiPriority w:val="99"/>
    <w:semiHidden/>
    <w:unhideWhenUsed/>
    <w:rsid w:val="00141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13D8"/>
    <w:rPr>
      <w:sz w:val="20"/>
      <w:szCs w:val="20"/>
    </w:rPr>
  </w:style>
  <w:style w:type="paragraph" w:styleId="Textodeglobo">
    <w:name w:val="Balloon Text"/>
    <w:basedOn w:val="Normal"/>
    <w:link w:val="TextodegloboCar"/>
    <w:uiPriority w:val="99"/>
    <w:semiHidden/>
    <w:unhideWhenUsed/>
    <w:rsid w:val="00141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3D8"/>
    <w:rPr>
      <w:rFonts w:ascii="Segoe UI" w:hAnsi="Segoe UI" w:cs="Segoe UI"/>
      <w:sz w:val="18"/>
      <w:szCs w:val="18"/>
    </w:rPr>
  </w:style>
  <w:style w:type="character" w:styleId="Hipervnculovisitado">
    <w:name w:val="FollowedHyperlink"/>
    <w:basedOn w:val="Fuentedeprrafopredeter"/>
    <w:uiPriority w:val="99"/>
    <w:semiHidden/>
    <w:unhideWhenUsed/>
    <w:rsid w:val="00CF01C7"/>
    <w:rPr>
      <w:color w:val="954F72" w:themeColor="followedHyperlink"/>
      <w:u w:val="single"/>
    </w:rPr>
  </w:style>
  <w:style w:type="character" w:customStyle="1" w:styleId="Mencionar1">
    <w:name w:val="Mencionar1"/>
    <w:basedOn w:val="Fuentedeprrafopredeter"/>
    <w:uiPriority w:val="99"/>
    <w:semiHidden/>
    <w:unhideWhenUsed/>
    <w:rsid w:val="00DB313E"/>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052FFA"/>
    <w:rPr>
      <w:b/>
      <w:bCs/>
    </w:rPr>
  </w:style>
  <w:style w:type="character" w:customStyle="1" w:styleId="AsuntodelcomentarioCar">
    <w:name w:val="Asunto del comentario Car"/>
    <w:basedOn w:val="TextocomentarioCar"/>
    <w:link w:val="Asuntodelcomentario"/>
    <w:uiPriority w:val="99"/>
    <w:semiHidden/>
    <w:rsid w:val="00052FFA"/>
    <w:rPr>
      <w:b/>
      <w:bCs/>
      <w:sz w:val="20"/>
      <w:szCs w:val="20"/>
    </w:rPr>
  </w:style>
  <w:style w:type="character" w:customStyle="1" w:styleId="Mencionar2">
    <w:name w:val="Mencionar2"/>
    <w:basedOn w:val="Fuentedeprrafopredeter"/>
    <w:uiPriority w:val="99"/>
    <w:semiHidden/>
    <w:unhideWhenUsed/>
    <w:rsid w:val="007C456E"/>
    <w:rPr>
      <w:color w:val="2B579A"/>
      <w:shd w:val="clear" w:color="auto" w:fill="E6E6E6"/>
    </w:rPr>
  </w:style>
  <w:style w:type="character" w:styleId="Textoennegrita">
    <w:name w:val="Strong"/>
    <w:basedOn w:val="Fuentedeprrafopredeter"/>
    <w:uiPriority w:val="22"/>
    <w:qFormat/>
    <w:rsid w:val="00B466A1"/>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10259"/>
    <w:pPr>
      <w:spacing w:before="100" w:beforeAutospacing="1" w:after="100" w:afterAutospacing="1" w:line="240" w:lineRule="auto"/>
    </w:pPr>
    <w:rPr>
      <w:rFonts w:ascii="Times New Roman" w:eastAsiaTheme="minorEastAsia" w:hAnsi="Times New Roman" w:cs="Times New Roman"/>
      <w:sz w:val="24"/>
      <w:szCs w:val="24"/>
      <w:lang w:val="es-ES"/>
    </w:rPr>
  </w:style>
  <w:style w:type="paragraph" w:customStyle="1" w:styleId="pb-article-item-iteration">
    <w:name w:val="pb-article-item-iteration"/>
    <w:basedOn w:val="Normal"/>
    <w:rsid w:val="00CB5926"/>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eads-ui-components-credits-colored">
    <w:name w:val="teads-ui-components-credits-colored"/>
    <w:basedOn w:val="Fuentedeprrafopredeter"/>
    <w:rsid w:val="00CB5926"/>
  </w:style>
  <w:style w:type="table" w:customStyle="1" w:styleId="a1">
    <w:basedOn w:val="TableNormal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A6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habitaclia.com/" TargetMode="External"/><Relationship Id="rId18" Type="http://schemas.openxmlformats.org/officeDocument/2006/relationships/hyperlink" Target="https://www.adevinta.com/es/spa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coches.net/"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mailto:infojobs@evercom.e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infojobs.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VESRV03\PERFILES\carolina.ortiz\Escritorio\200714_BrechaSalari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VESRV03\PERFILES\carolina.ortiz\Escritorio\200714_BrechaSalari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VESRV03\PERFILES\carolina.ortiz\Escritorio\200714_BrechaSalari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_tradnl" sz="1000" b="0">
                <a:latin typeface="Proxima Nova"/>
              </a:rPr>
              <a:t>A</a:t>
            </a:r>
            <a:r>
              <a:rPr lang="es-ES_tradnl" sz="1000" b="0" baseline="0">
                <a:latin typeface="Proxima Nova"/>
              </a:rPr>
              <a:t> </a:t>
            </a:r>
            <a:r>
              <a:rPr lang="es-ES_tradnl" sz="1000" b="0">
                <a:latin typeface="Proxima Nova"/>
              </a:rPr>
              <a:t>FAVOR DE QUE LAS EMPRESAS HAGAN PÚBLICO EL SALARIO POR PUESTO/CATEGORÍA, COMO MEDIDA PARA ACABAR CON LA BRECHA SALARIAL ENTRE GÉNERO</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Hoja2!$C$64</c:f>
              <c:strCache>
                <c:ptCount val="1"/>
                <c:pt idx="0">
                  <c:v>Total</c:v>
                </c:pt>
              </c:strCache>
            </c:strRef>
          </c:tx>
          <c:spPr>
            <a:solidFill>
              <a:schemeClr val="accent1"/>
            </a:solidFill>
            <a:ln>
              <a:noFill/>
            </a:ln>
            <a:effectLst/>
          </c:spPr>
          <c:invertIfNegative val="0"/>
          <c:dLbls>
            <c:dLbl>
              <c:idx val="0"/>
              <c:tx>
                <c:rich>
                  <a:bodyPr/>
                  <a:lstStyle/>
                  <a:p>
                    <a:r>
                      <a:rPr lang="en-US"/>
                      <a:t>86,2%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6E1-45D5-9691-457CB5470EC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Hoja2!$B$65</c:f>
              <c:strCache>
                <c:ptCount val="1"/>
                <c:pt idx="0">
                  <c:v>Sí</c:v>
                </c:pt>
              </c:strCache>
            </c:strRef>
          </c:cat>
          <c:val>
            <c:numRef>
              <c:f>Hoja2!$C$65</c:f>
              <c:numCache>
                <c:formatCode>General</c:formatCode>
                <c:ptCount val="1"/>
                <c:pt idx="0">
                  <c:v>86.2</c:v>
                </c:pt>
              </c:numCache>
            </c:numRef>
          </c:val>
          <c:extLst>
            <c:ext xmlns:c16="http://schemas.microsoft.com/office/drawing/2014/chart" uri="{C3380CC4-5D6E-409C-BE32-E72D297353CC}">
              <c16:uniqueId val="{00000000-41D4-0D4F-A7AA-395824EC7A58}"/>
            </c:ext>
          </c:extLst>
        </c:ser>
        <c:ser>
          <c:idx val="1"/>
          <c:order val="1"/>
          <c:tx>
            <c:strRef>
              <c:f>Hoja2!$D$64</c:f>
              <c:strCache>
                <c:ptCount val="1"/>
                <c:pt idx="0">
                  <c:v>Hombre</c:v>
                </c:pt>
              </c:strCache>
            </c:strRef>
          </c:tx>
          <c:spPr>
            <a:solidFill>
              <a:schemeClr val="accent2"/>
            </a:solidFill>
            <a:ln>
              <a:noFill/>
            </a:ln>
            <a:effectLst/>
          </c:spPr>
          <c:invertIfNegative val="0"/>
          <c:dLbls>
            <c:dLbl>
              <c:idx val="0"/>
              <c:tx>
                <c:rich>
                  <a:bodyPr/>
                  <a:lstStyle/>
                  <a:p>
                    <a:r>
                      <a:rPr lang="en-US"/>
                      <a:t>81,4%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6E1-45D5-9691-457CB5470EC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Hoja2!$B$65</c:f>
              <c:strCache>
                <c:ptCount val="1"/>
                <c:pt idx="0">
                  <c:v>Sí</c:v>
                </c:pt>
              </c:strCache>
            </c:strRef>
          </c:cat>
          <c:val>
            <c:numRef>
              <c:f>Hoja2!$D$65</c:f>
              <c:numCache>
                <c:formatCode>General</c:formatCode>
                <c:ptCount val="1"/>
                <c:pt idx="0">
                  <c:v>81.400000000000006</c:v>
                </c:pt>
              </c:numCache>
            </c:numRef>
          </c:val>
          <c:extLst>
            <c:ext xmlns:c16="http://schemas.microsoft.com/office/drawing/2014/chart" uri="{C3380CC4-5D6E-409C-BE32-E72D297353CC}">
              <c16:uniqueId val="{00000001-41D4-0D4F-A7AA-395824EC7A58}"/>
            </c:ext>
          </c:extLst>
        </c:ser>
        <c:ser>
          <c:idx val="2"/>
          <c:order val="2"/>
          <c:tx>
            <c:strRef>
              <c:f>Hoja2!$E$64</c:f>
              <c:strCache>
                <c:ptCount val="1"/>
                <c:pt idx="0">
                  <c:v>Mujer</c:v>
                </c:pt>
              </c:strCache>
            </c:strRef>
          </c:tx>
          <c:spPr>
            <a:solidFill>
              <a:schemeClr val="accent3"/>
            </a:solidFill>
            <a:ln>
              <a:noFill/>
            </a:ln>
            <a:effectLst/>
          </c:spPr>
          <c:invertIfNegative val="0"/>
          <c:dLbls>
            <c:dLbl>
              <c:idx val="0"/>
              <c:layout>
                <c:manualLayout>
                  <c:x val="0"/>
                  <c:y val="-4.3516100957354618E-3"/>
                </c:manualLayout>
              </c:layout>
              <c:tx>
                <c:rich>
                  <a:bodyPr/>
                  <a:lstStyle/>
                  <a:p>
                    <a:fld id="{1D60CE8B-E439-45FA-9F70-17924060D52C}" type="VALUE">
                      <a:rPr lang="en-US"/>
                      <a:pPr/>
                      <a:t>[VALOR]</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6E1-45D5-9691-457CB5470EC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Hoja2!$B$65</c:f>
              <c:strCache>
                <c:ptCount val="1"/>
                <c:pt idx="0">
                  <c:v>Sí</c:v>
                </c:pt>
              </c:strCache>
            </c:strRef>
          </c:cat>
          <c:val>
            <c:numRef>
              <c:f>Hoja2!$E$65</c:f>
              <c:numCache>
                <c:formatCode>General</c:formatCode>
                <c:ptCount val="1"/>
                <c:pt idx="0">
                  <c:v>90.3</c:v>
                </c:pt>
              </c:numCache>
            </c:numRef>
          </c:val>
          <c:extLst>
            <c:ext xmlns:c16="http://schemas.microsoft.com/office/drawing/2014/chart" uri="{C3380CC4-5D6E-409C-BE32-E72D297353CC}">
              <c16:uniqueId val="{00000002-41D4-0D4F-A7AA-395824EC7A58}"/>
            </c:ext>
          </c:extLst>
        </c:ser>
        <c:dLbls>
          <c:showLegendKey val="0"/>
          <c:showVal val="0"/>
          <c:showCatName val="0"/>
          <c:showSerName val="0"/>
          <c:showPercent val="0"/>
          <c:showBubbleSize val="0"/>
        </c:dLbls>
        <c:gapWidth val="182"/>
        <c:axId val="648385136"/>
        <c:axId val="648385680"/>
      </c:barChart>
      <c:catAx>
        <c:axId val="648385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crossAx val="648385680"/>
        <c:crosses val="autoZero"/>
        <c:auto val="1"/>
        <c:lblAlgn val="ctr"/>
        <c:lblOffset val="100"/>
        <c:noMultiLvlLbl val="0"/>
      </c:catAx>
      <c:valAx>
        <c:axId val="648385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crossAx val="64838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Proxima Nova"/>
                <a:ea typeface="+mn-ea"/>
                <a:cs typeface="+mn-cs"/>
              </a:defRPr>
            </a:pPr>
            <a:r>
              <a:rPr lang="es-ES" sz="1000" b="0">
                <a:latin typeface="Proxima Nova"/>
              </a:rPr>
              <a:t>CREE QUE SIGUE HABIENDO BRECHA SALARIAL ENTRE HOMBRES Y MUJERES </a:t>
            </a:r>
            <a:r>
              <a:rPr lang="es-ES_tradnl" sz="1000" b="0">
                <a:latin typeface="Proxima Nova"/>
              </a:rPr>
              <a:t> </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Proxima Nova"/>
              <a:ea typeface="+mn-ea"/>
              <a:cs typeface="+mn-cs"/>
            </a:defRPr>
          </a:pPr>
          <a:endParaRPr lang="es-ES"/>
        </a:p>
      </c:txPr>
    </c:title>
    <c:autoTitleDeleted val="0"/>
    <c:plotArea>
      <c:layout/>
      <c:barChart>
        <c:barDir val="bar"/>
        <c:grouping val="clustered"/>
        <c:varyColors val="0"/>
        <c:ser>
          <c:idx val="0"/>
          <c:order val="0"/>
          <c:tx>
            <c:strRef>
              <c:f>Hoja2!$C$13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Hoja2!$B$14</c:f>
              <c:strCache>
                <c:ptCount val="1"/>
                <c:pt idx="0">
                  <c:v>Sí</c:v>
                </c:pt>
              </c:strCache>
            </c:strRef>
          </c:cat>
          <c:val>
            <c:numRef>
              <c:f>Hoja2!$C$14</c:f>
              <c:numCache>
                <c:formatCode>General</c:formatCode>
                <c:ptCount val="1"/>
                <c:pt idx="0">
                  <c:v>66.400000000000006</c:v>
                </c:pt>
              </c:numCache>
            </c:numRef>
          </c:val>
          <c:extLst>
            <c:ext xmlns:c16="http://schemas.microsoft.com/office/drawing/2014/chart" uri="{C3380CC4-5D6E-409C-BE32-E72D297353CC}">
              <c16:uniqueId val="{00000000-6855-BE49-AD08-D86E23D3F692}"/>
            </c:ext>
          </c:extLst>
        </c:ser>
        <c:ser>
          <c:idx val="1"/>
          <c:order val="1"/>
          <c:tx>
            <c:strRef>
              <c:f>Hoja2!$D$13</c:f>
              <c:strCache>
                <c:ptCount val="1"/>
                <c:pt idx="0">
                  <c:v>Hombre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Hoja2!$B$14</c:f>
              <c:strCache>
                <c:ptCount val="1"/>
                <c:pt idx="0">
                  <c:v>Sí</c:v>
                </c:pt>
              </c:strCache>
            </c:strRef>
          </c:cat>
          <c:val>
            <c:numRef>
              <c:f>Hoja2!$D$14</c:f>
              <c:numCache>
                <c:formatCode>General</c:formatCode>
                <c:ptCount val="1"/>
                <c:pt idx="0">
                  <c:v>53</c:v>
                </c:pt>
              </c:numCache>
            </c:numRef>
          </c:val>
          <c:extLst>
            <c:ext xmlns:c16="http://schemas.microsoft.com/office/drawing/2014/chart" uri="{C3380CC4-5D6E-409C-BE32-E72D297353CC}">
              <c16:uniqueId val="{00000001-6855-BE49-AD08-D86E23D3F692}"/>
            </c:ext>
          </c:extLst>
        </c:ser>
        <c:ser>
          <c:idx val="2"/>
          <c:order val="2"/>
          <c:tx>
            <c:strRef>
              <c:f>Hoja2!$E$13</c:f>
              <c:strCache>
                <c:ptCount val="1"/>
                <c:pt idx="0">
                  <c:v>Mujer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Hoja2!$B$14</c:f>
              <c:strCache>
                <c:ptCount val="1"/>
                <c:pt idx="0">
                  <c:v>Sí</c:v>
                </c:pt>
              </c:strCache>
            </c:strRef>
          </c:cat>
          <c:val>
            <c:numRef>
              <c:f>Hoja2!$E$14</c:f>
              <c:numCache>
                <c:formatCode>General</c:formatCode>
                <c:ptCount val="1"/>
                <c:pt idx="0">
                  <c:v>77.900000000000006</c:v>
                </c:pt>
              </c:numCache>
            </c:numRef>
          </c:val>
          <c:extLst>
            <c:ext xmlns:c16="http://schemas.microsoft.com/office/drawing/2014/chart" uri="{C3380CC4-5D6E-409C-BE32-E72D297353CC}">
              <c16:uniqueId val="{00000002-6855-BE49-AD08-D86E23D3F692}"/>
            </c:ext>
          </c:extLst>
        </c:ser>
        <c:dLbls>
          <c:showLegendKey val="0"/>
          <c:showVal val="0"/>
          <c:showCatName val="0"/>
          <c:showSerName val="0"/>
          <c:showPercent val="0"/>
          <c:showBubbleSize val="0"/>
        </c:dLbls>
        <c:gapWidth val="182"/>
        <c:axId val="648387312"/>
        <c:axId val="648388944"/>
      </c:barChart>
      <c:catAx>
        <c:axId val="6483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648388944"/>
        <c:crosses val="autoZero"/>
        <c:auto val="1"/>
        <c:lblAlgn val="ctr"/>
        <c:lblOffset val="100"/>
        <c:noMultiLvlLbl val="0"/>
      </c:catAx>
      <c:valAx>
        <c:axId val="64838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64838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Proxima Nova"/>
                <a:ea typeface="+mn-ea"/>
                <a:cs typeface="+mn-cs"/>
              </a:defRPr>
            </a:pPr>
            <a:r>
              <a:rPr lang="es-ES_tradnl" sz="1000" b="0">
                <a:latin typeface="Proxima Nova"/>
              </a:rPr>
              <a:t>CUÁL ES EL PORCENTAJE DE LAS MUJERES QUE OCUPAN PUESTOS DIRECTIVOS EN LA EMPRESA EN LA QUE TRABAJA</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Proxima Nova"/>
              <a:ea typeface="+mn-ea"/>
              <a:cs typeface="+mn-cs"/>
            </a:defRPr>
          </a:pPr>
          <a:endParaRPr lang="es-ES"/>
        </a:p>
      </c:txPr>
    </c:title>
    <c:autoTitleDeleted val="0"/>
    <c:plotArea>
      <c:layout/>
      <c:barChart>
        <c:barDir val="bar"/>
        <c:grouping val="clustered"/>
        <c:varyColors val="0"/>
        <c:ser>
          <c:idx val="0"/>
          <c:order val="0"/>
          <c:tx>
            <c:strRef>
              <c:f>Hoja2!$C$129</c:f>
              <c:strCache>
                <c:ptCount val="1"/>
                <c:pt idx="0">
                  <c:v>Total</c:v>
                </c:pt>
              </c:strCache>
            </c:strRef>
          </c:tx>
          <c:spPr>
            <a:solidFill>
              <a:schemeClr val="accent1"/>
            </a:solidFill>
            <a:ln>
              <a:noFill/>
            </a:ln>
            <a:effectLst/>
          </c:spPr>
          <c:invertIfNegative val="0"/>
          <c:dLbls>
            <c:dLbl>
              <c:idx val="0"/>
              <c:tx>
                <c:rich>
                  <a:bodyPr/>
                  <a:lstStyle/>
                  <a:p>
                    <a:r>
                      <a:rPr lang="en-US"/>
                      <a:t>55,4%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8E5-4385-B24B-D570D648B41B}"/>
                </c:ext>
              </c:extLst>
            </c:dLbl>
            <c:dLbl>
              <c:idx val="1"/>
              <c:tx>
                <c:rich>
                  <a:bodyPr/>
                  <a:lstStyle/>
                  <a:p>
                    <a:r>
                      <a:rPr lang="en-US"/>
                      <a:t>25,4%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8E5-4385-B24B-D570D648B41B}"/>
                </c:ext>
              </c:extLst>
            </c:dLbl>
            <c:dLbl>
              <c:idx val="2"/>
              <c:tx>
                <c:rich>
                  <a:bodyPr/>
                  <a:lstStyle/>
                  <a:p>
                    <a:r>
                      <a:rPr lang="en-US"/>
                      <a:t>19,4%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8E5-4385-B24B-D570D648B41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Hoja2!$B$130:$B$132</c:f>
              <c:strCache>
                <c:ptCount val="3"/>
                <c:pt idx="0">
                  <c:v>Entre el 0 y el 20%</c:v>
                </c:pt>
                <c:pt idx="1">
                  <c:v>Del 21 al 50%</c:v>
                </c:pt>
                <c:pt idx="2">
                  <c:v>Más del 50%</c:v>
                </c:pt>
              </c:strCache>
            </c:strRef>
          </c:cat>
          <c:val>
            <c:numRef>
              <c:f>Hoja2!$C$130:$C$132</c:f>
              <c:numCache>
                <c:formatCode>General</c:formatCode>
                <c:ptCount val="3"/>
                <c:pt idx="0">
                  <c:v>55.400000000000006</c:v>
                </c:pt>
                <c:pt idx="1">
                  <c:v>25.4</c:v>
                </c:pt>
                <c:pt idx="2">
                  <c:v>19.399999999999999</c:v>
                </c:pt>
              </c:numCache>
            </c:numRef>
          </c:val>
          <c:extLst>
            <c:ext xmlns:c16="http://schemas.microsoft.com/office/drawing/2014/chart" uri="{C3380CC4-5D6E-409C-BE32-E72D297353CC}">
              <c16:uniqueId val="{00000000-E397-7048-9910-B172CE51FCF1}"/>
            </c:ext>
          </c:extLst>
        </c:ser>
        <c:dLbls>
          <c:showLegendKey val="0"/>
          <c:showVal val="0"/>
          <c:showCatName val="0"/>
          <c:showSerName val="0"/>
          <c:showPercent val="0"/>
          <c:showBubbleSize val="0"/>
        </c:dLbls>
        <c:gapWidth val="182"/>
        <c:axId val="648376976"/>
        <c:axId val="648375888"/>
      </c:barChart>
      <c:valAx>
        <c:axId val="64837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48376976"/>
        <c:crosses val="autoZero"/>
        <c:crossBetween val="between"/>
      </c:valAx>
      <c:catAx>
        <c:axId val="648376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648375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TaJq8S9MRvTmDzVp1FsIKcHaA==">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1516</Words>
  <Characters>8339</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Alegre</dc:creator>
  <cp:lastModifiedBy>Xènia Gallego Busquets</cp:lastModifiedBy>
  <cp:revision>5</cp:revision>
  <dcterms:created xsi:type="dcterms:W3CDTF">2020-07-30T14:39:00Z</dcterms:created>
  <dcterms:modified xsi:type="dcterms:W3CDTF">2020-07-31T08:25:00Z</dcterms:modified>
</cp:coreProperties>
</file>