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A35B" w14:textId="70ADD972" w:rsidR="00C66683" w:rsidRDefault="00354BA0" w:rsidP="008764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70C0"/>
          <w:sz w:val="50"/>
          <w:szCs w:val="50"/>
        </w:rPr>
      </w:pPr>
      <w:bookmarkStart w:id="0" w:name="_GoBack"/>
      <w:r>
        <w:rPr>
          <w:rFonts w:ascii="Arial" w:eastAsia="Arial" w:hAnsi="Arial" w:cs="Arial"/>
          <w:color w:val="0070C0"/>
          <w:sz w:val="50"/>
          <w:szCs w:val="50"/>
        </w:rPr>
        <w:t>La mitad de la población ocupada</w:t>
      </w:r>
      <w:r w:rsidR="0087647F">
        <w:rPr>
          <w:rFonts w:ascii="Arial" w:eastAsia="Arial" w:hAnsi="Arial" w:cs="Arial"/>
          <w:color w:val="0070C0"/>
          <w:sz w:val="50"/>
          <w:szCs w:val="50"/>
        </w:rPr>
        <w:t xml:space="preserve"> </w:t>
      </w:r>
      <w:r>
        <w:rPr>
          <w:rFonts w:ascii="Arial" w:eastAsia="Arial" w:hAnsi="Arial" w:cs="Arial"/>
          <w:color w:val="0070C0"/>
          <w:sz w:val="50"/>
          <w:szCs w:val="50"/>
        </w:rPr>
        <w:t xml:space="preserve">consiguió un aumento salarial en 2019 y el 21% perdió poder adquisitivo </w:t>
      </w:r>
    </w:p>
    <w:bookmarkEnd w:id="0"/>
    <w:p w14:paraId="1C45A823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70C0"/>
          <w:sz w:val="20"/>
          <w:szCs w:val="20"/>
        </w:rPr>
      </w:pPr>
    </w:p>
    <w:p w14:paraId="37500488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color w:val="0070C0"/>
          <w:sz w:val="20"/>
          <w:szCs w:val="20"/>
        </w:rPr>
      </w:pPr>
      <w:bookmarkStart w:id="1" w:name="_gjdgxs" w:colFirst="0" w:colLast="0"/>
      <w:bookmarkEnd w:id="1"/>
    </w:p>
    <w:p w14:paraId="13CAA9A1" w14:textId="711E20B9" w:rsidR="00C66683" w:rsidRDefault="00354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Según el último estudio elaborado por InfoJobs,</w:t>
      </w:r>
      <w:r w:rsidR="0087647F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un 66% de la población ocupada que percibió una subida salarial considera insuficiente el aumento  </w:t>
      </w:r>
    </w:p>
    <w:p w14:paraId="60DA3F42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2FB9A28A" w14:textId="148BA620" w:rsidR="00C66683" w:rsidRDefault="00354BA0" w:rsidP="00474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El 57% de los hombres consigu</w:t>
      </w:r>
      <w:r w:rsidR="0087647F">
        <w:rPr>
          <w:rFonts w:ascii="Arial" w:eastAsia="Arial" w:hAnsi="Arial" w:cs="Arial"/>
          <w:color w:val="0070C0"/>
          <w:sz w:val="20"/>
          <w:szCs w:val="20"/>
        </w:rPr>
        <w:t>i</w:t>
      </w:r>
      <w:r>
        <w:rPr>
          <w:rFonts w:ascii="Arial" w:eastAsia="Arial" w:hAnsi="Arial" w:cs="Arial"/>
          <w:color w:val="0070C0"/>
          <w:sz w:val="20"/>
          <w:szCs w:val="20"/>
        </w:rPr>
        <w:t>e</w:t>
      </w:r>
      <w:r w:rsidR="006607C5">
        <w:rPr>
          <w:rFonts w:ascii="Arial" w:eastAsia="Arial" w:hAnsi="Arial" w:cs="Arial"/>
          <w:color w:val="0070C0"/>
          <w:sz w:val="20"/>
          <w:szCs w:val="20"/>
        </w:rPr>
        <w:t>ro</w:t>
      </w:r>
      <w:r>
        <w:rPr>
          <w:rFonts w:ascii="Arial" w:eastAsia="Arial" w:hAnsi="Arial" w:cs="Arial"/>
          <w:color w:val="0070C0"/>
          <w:sz w:val="20"/>
          <w:szCs w:val="20"/>
        </w:rPr>
        <w:t>n un aumento, mientras que solo el 53% de las mujeres</w:t>
      </w:r>
    </w:p>
    <w:p w14:paraId="7F9D609F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5390A175" w14:textId="3D52459E" w:rsidR="00C66683" w:rsidRDefault="00354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La posición laboral</w:t>
      </w:r>
      <w:r w:rsidR="00547CAE">
        <w:rPr>
          <w:rFonts w:ascii="Arial" w:eastAsia="Arial" w:hAnsi="Arial" w:cs="Arial"/>
          <w:color w:val="0070C0"/>
          <w:sz w:val="20"/>
          <w:szCs w:val="20"/>
        </w:rPr>
        <w:t>,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un factor clave en el porcentaje de aumento: a mayor responsabilidad, mayor incremento en el salario</w:t>
      </w:r>
    </w:p>
    <w:p w14:paraId="6E8EDC58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79A809CF" w14:textId="2B2A088F" w:rsidR="00C66683" w:rsidRDefault="00354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Casi la mitad de la población ocupada destina</w:t>
      </w:r>
      <w:r w:rsidR="006607C5">
        <w:rPr>
          <w:rFonts w:ascii="Arial" w:eastAsia="Arial" w:hAnsi="Arial" w:cs="Arial"/>
          <w:color w:val="0070C0"/>
          <w:sz w:val="20"/>
          <w:szCs w:val="20"/>
        </w:rPr>
        <w:t>ron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el aumento al ahorro</w:t>
      </w:r>
    </w:p>
    <w:p w14:paraId="3E8D557E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70C0"/>
          <w:sz w:val="20"/>
          <w:szCs w:val="20"/>
        </w:rPr>
      </w:pPr>
    </w:p>
    <w:p w14:paraId="4F159006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color w:val="0070C0"/>
          <w:sz w:val="20"/>
          <w:szCs w:val="20"/>
        </w:rPr>
      </w:pPr>
      <w:bookmarkStart w:id="2" w:name="_30j0zll" w:colFirst="0" w:colLast="0"/>
      <w:bookmarkEnd w:id="2"/>
    </w:p>
    <w:p w14:paraId="09431A70" w14:textId="226DC6AD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Barcelona, a </w:t>
      </w:r>
      <w:r w:rsidR="0087647F">
        <w:rPr>
          <w:rFonts w:ascii="Arial" w:eastAsia="Arial" w:hAnsi="Arial" w:cs="Arial"/>
          <w:b/>
          <w:color w:val="000000"/>
          <w:sz w:val="20"/>
          <w:szCs w:val="20"/>
        </w:rPr>
        <w:t>28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enero de 2020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 w:rsidR="0087647F">
        <w:rPr>
          <w:rFonts w:ascii="Arial" w:eastAsia="Arial" w:hAnsi="Arial" w:cs="Arial"/>
          <w:color w:val="000000"/>
          <w:sz w:val="20"/>
          <w:szCs w:val="20"/>
        </w:rPr>
        <w:t>Recientemente</w:t>
      </w:r>
      <w:r w:rsidR="005C277A">
        <w:rPr>
          <w:rFonts w:ascii="Arial" w:eastAsia="Arial" w:hAnsi="Arial" w:cs="Arial"/>
          <w:color w:val="000000"/>
          <w:sz w:val="20"/>
          <w:szCs w:val="20"/>
        </w:rPr>
        <w:t>,</w:t>
      </w:r>
      <w:r w:rsidR="0087647F">
        <w:rPr>
          <w:rFonts w:ascii="Arial" w:eastAsia="Arial" w:hAnsi="Arial" w:cs="Arial"/>
          <w:color w:val="000000"/>
          <w:sz w:val="20"/>
          <w:szCs w:val="20"/>
        </w:rPr>
        <w:t xml:space="preserve"> el</w:t>
      </w:r>
      <w:r w:rsidR="0087647F" w:rsidRPr="0087647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47F">
        <w:rPr>
          <w:rFonts w:ascii="Arial" w:eastAsia="Arial" w:hAnsi="Arial" w:cs="Arial"/>
          <w:color w:val="000000"/>
          <w:sz w:val="20"/>
          <w:szCs w:val="20"/>
        </w:rPr>
        <w:t xml:space="preserve">Gobierno ha </w:t>
      </w:r>
      <w:r w:rsidR="000A66BC">
        <w:rPr>
          <w:rFonts w:ascii="Arial" w:eastAsia="Arial" w:hAnsi="Arial" w:cs="Arial"/>
          <w:color w:val="000000"/>
          <w:sz w:val="20"/>
          <w:szCs w:val="20"/>
        </w:rPr>
        <w:t>subido</w:t>
      </w:r>
      <w:r w:rsidR="0087647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47F" w:rsidRPr="0087647F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="0087647F">
        <w:rPr>
          <w:rFonts w:ascii="Arial" w:eastAsia="Arial" w:hAnsi="Arial" w:cs="Arial"/>
          <w:color w:val="000000"/>
          <w:sz w:val="20"/>
          <w:szCs w:val="20"/>
        </w:rPr>
        <w:t xml:space="preserve">salario mínimo interprofesional (SMI) </w:t>
      </w:r>
      <w:r w:rsidR="0087647F" w:rsidRPr="0087647F">
        <w:rPr>
          <w:rFonts w:ascii="Arial" w:eastAsia="Arial" w:hAnsi="Arial" w:cs="Arial"/>
          <w:color w:val="000000"/>
          <w:sz w:val="20"/>
          <w:szCs w:val="20"/>
        </w:rPr>
        <w:t xml:space="preserve">a 950 euros este año, un 5,5% más </w:t>
      </w:r>
      <w:r w:rsidR="0087647F">
        <w:rPr>
          <w:rFonts w:ascii="Arial" w:eastAsia="Arial" w:hAnsi="Arial" w:cs="Arial"/>
          <w:color w:val="000000"/>
          <w:sz w:val="20"/>
          <w:szCs w:val="20"/>
        </w:rPr>
        <w:t>respecto el establecido en</w:t>
      </w:r>
      <w:r w:rsidR="0087647F" w:rsidRPr="0087647F">
        <w:rPr>
          <w:rFonts w:ascii="Arial" w:eastAsia="Arial" w:hAnsi="Arial" w:cs="Arial"/>
          <w:color w:val="000000"/>
          <w:sz w:val="20"/>
          <w:szCs w:val="20"/>
        </w:rPr>
        <w:t xml:space="preserve"> 2019</w:t>
      </w:r>
      <w:r w:rsidR="0087647F">
        <w:rPr>
          <w:rFonts w:ascii="Arial" w:eastAsia="Arial" w:hAnsi="Arial" w:cs="Arial"/>
          <w:color w:val="000000"/>
          <w:sz w:val="20"/>
          <w:szCs w:val="20"/>
        </w:rPr>
        <w:t xml:space="preserve">, una subida que beneficiará a </w:t>
      </w:r>
      <w:r w:rsidR="0087647F" w:rsidRPr="0087647F">
        <w:rPr>
          <w:rFonts w:ascii="Arial" w:eastAsia="Arial" w:hAnsi="Arial" w:cs="Arial"/>
          <w:color w:val="000000"/>
          <w:sz w:val="20"/>
          <w:szCs w:val="20"/>
        </w:rPr>
        <w:t>más de 2 millones de trabajadores</w:t>
      </w:r>
      <w:r w:rsidR="0087647F">
        <w:rPr>
          <w:rFonts w:ascii="Arial" w:eastAsia="Arial" w:hAnsi="Arial" w:cs="Arial"/>
          <w:color w:val="000000"/>
          <w:sz w:val="20"/>
          <w:szCs w:val="20"/>
        </w:rPr>
        <w:t xml:space="preserve">. El año pasado, España vivió la mayor subida del SMI de la historia: lo incrementó un 22,3% más respecto al establecido en 2018, hasta los 900 euros.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Los salarios son un perfecto indicador de la evolución del mercado laboral. Así, con medidas como estas, España contribuye al cumplimiento de la Agenda 2030 y su objetivo sobre desarrollo sostenible, que aboga para que la creación de empleo y la recuperación económica se traduzcan en una progresiva reducción de la pobreza y de las desigualdades salariales, ayudando a promover un crecimiento sostenido, sostenible e inclusivo. </w:t>
      </w:r>
    </w:p>
    <w:p w14:paraId="6E59EF82" w14:textId="30BD0226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 estudio realizado por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InfoJobs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- la plataforma líder en España para encontrar las mejores oportunidades laborales y el mejor talento – manifiesta que un 55% de la población ocupada consiguió un aumento salarial en 2019. Mientras </w:t>
      </w:r>
      <w:r>
        <w:rPr>
          <w:rFonts w:ascii="Arial" w:eastAsia="Arial" w:hAnsi="Arial" w:cs="Arial"/>
          <w:b/>
          <w:color w:val="000000"/>
          <w:sz w:val="20"/>
          <w:szCs w:val="20"/>
        </w:rPr>
        <w:t>el 53% de las mujeres obtienen un incremento, en el caso de ellos la cifra asciende hasta el 57%.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Además, cabe destacar que, </w:t>
      </w:r>
      <w:r>
        <w:rPr>
          <w:rFonts w:ascii="Arial" w:eastAsia="Arial" w:hAnsi="Arial" w:cs="Arial"/>
          <w:b/>
          <w:color w:val="000000"/>
          <w:sz w:val="20"/>
          <w:szCs w:val="20"/>
        </w:rPr>
        <w:t>a más edad, más elevado el porcentaje de empleados que consiguen un aumento salarial</w:t>
      </w:r>
      <w:r>
        <w:rPr>
          <w:rFonts w:ascii="Arial" w:eastAsia="Arial" w:hAnsi="Arial" w:cs="Arial"/>
          <w:color w:val="000000"/>
          <w:sz w:val="20"/>
          <w:szCs w:val="20"/>
        </w:rPr>
        <w:t>. En este sentido, contrastan los extremos de edad: un 45% de los jóvenes logra una subida salarial, frente al 6</w:t>
      </w:r>
      <w:r w:rsidR="001C29C0">
        <w:rPr>
          <w:rFonts w:ascii="Arial" w:eastAsia="Arial" w:hAnsi="Arial" w:cs="Arial"/>
          <w:color w:val="000000"/>
          <w:sz w:val="20"/>
          <w:szCs w:val="20"/>
        </w:rPr>
        <w:t>2,5</w:t>
      </w:r>
      <w:r>
        <w:rPr>
          <w:rFonts w:ascii="Arial" w:eastAsia="Arial" w:hAnsi="Arial" w:cs="Arial"/>
          <w:color w:val="000000"/>
          <w:sz w:val="20"/>
          <w:szCs w:val="20"/>
        </w:rPr>
        <w:t>% de los mayores de 54 años.</w:t>
      </w:r>
      <w:r w:rsidR="00474C3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4C3F" w:rsidRPr="00474C3F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="00474C3F" w:rsidRPr="00474C3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tipo de jornada y contrato también son relevantes a la hora de conseguir un aumento. </w:t>
      </w:r>
      <w:r w:rsidR="00474C3F" w:rsidRPr="00474C3F">
        <w:rPr>
          <w:rFonts w:ascii="Arial" w:eastAsia="Arial" w:hAnsi="Arial" w:cs="Arial"/>
          <w:color w:val="000000"/>
          <w:sz w:val="20"/>
          <w:szCs w:val="20"/>
        </w:rPr>
        <w:t>Cuando el contrato es indefinido, lo consiguen el 58%, cuando es temporal, el 42</w:t>
      </w:r>
      <w:r w:rsidR="00474C3F">
        <w:rPr>
          <w:rFonts w:ascii="Arial" w:eastAsia="Arial" w:hAnsi="Arial" w:cs="Arial"/>
          <w:color w:val="000000"/>
          <w:sz w:val="20"/>
          <w:szCs w:val="20"/>
        </w:rPr>
        <w:t>%</w:t>
      </w:r>
      <w:r w:rsidR="00474C3F" w:rsidRPr="00474C3F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B197450" w14:textId="31BD50D1" w:rsidR="003E0559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Por Comunidades Autónomas, </w:t>
      </w:r>
      <w:r w:rsidR="00474C3F" w:rsidRPr="00474C3F">
        <w:rPr>
          <w:rFonts w:ascii="Arial" w:eastAsia="Arial" w:hAnsi="Arial" w:cs="Arial"/>
          <w:b/>
          <w:bCs/>
          <w:color w:val="000000"/>
          <w:sz w:val="20"/>
          <w:szCs w:val="20"/>
        </w:rPr>
        <w:t>Navarra (68%) y La Rioja (68%)</w:t>
      </w:r>
      <w:r w:rsidR="00474C3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4C3F">
        <w:rPr>
          <w:rFonts w:ascii="Arial" w:eastAsia="Arial" w:hAnsi="Arial" w:cs="Arial"/>
          <w:b/>
          <w:color w:val="000000"/>
          <w:sz w:val="20"/>
          <w:szCs w:val="20"/>
        </w:rPr>
        <w:t xml:space="preserve">son las comunidades donde más población ocupada obtuvo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una subida de salario en 2019, </w:t>
      </w:r>
      <w:r w:rsidR="00474C3F">
        <w:rPr>
          <w:rFonts w:ascii="Arial" w:eastAsia="Arial" w:hAnsi="Arial" w:cs="Arial"/>
          <w:b/>
          <w:color w:val="000000"/>
          <w:sz w:val="20"/>
          <w:szCs w:val="20"/>
        </w:rPr>
        <w:t xml:space="preserve">13 puntos porcentuales por encima </w:t>
      </w:r>
      <w:r w:rsidR="00474C3F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</w:t>
      </w:r>
      <w:r>
        <w:rPr>
          <w:rFonts w:ascii="Arial" w:eastAsia="Arial" w:hAnsi="Arial" w:cs="Arial"/>
          <w:b/>
          <w:color w:val="000000"/>
          <w:sz w:val="20"/>
          <w:szCs w:val="20"/>
        </w:rPr>
        <w:t>el promedio de la población ocupada en España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En </w:t>
      </w:r>
      <w:r w:rsidR="003E0559">
        <w:rPr>
          <w:rFonts w:ascii="Arial" w:eastAsia="Arial" w:hAnsi="Arial" w:cs="Arial"/>
          <w:color w:val="000000"/>
          <w:sz w:val="20"/>
          <w:szCs w:val="20"/>
        </w:rPr>
        <w:t xml:space="preserve">cambio, en comunidades como </w:t>
      </w:r>
      <w:r w:rsidR="003E0559" w:rsidRPr="003E0559">
        <w:rPr>
          <w:rFonts w:ascii="Arial" w:eastAsia="Arial" w:hAnsi="Arial" w:cs="Arial"/>
          <w:b/>
          <w:bCs/>
          <w:color w:val="000000"/>
          <w:sz w:val="20"/>
          <w:szCs w:val="20"/>
        </w:rPr>
        <w:t>Extremadura e Islas Baleares e</w:t>
      </w:r>
      <w:r w:rsidR="00547CAE">
        <w:rPr>
          <w:rFonts w:ascii="Arial" w:eastAsia="Arial" w:hAnsi="Arial" w:cs="Arial"/>
          <w:b/>
          <w:bCs/>
          <w:color w:val="000000"/>
          <w:sz w:val="20"/>
          <w:szCs w:val="20"/>
        </w:rPr>
        <w:t>ste</w:t>
      </w:r>
      <w:r w:rsidR="003E0559" w:rsidRPr="003E055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se sitúa por debajo de la media de España</w:t>
      </w:r>
      <w:r w:rsidR="003E0559">
        <w:rPr>
          <w:rFonts w:ascii="Arial" w:eastAsia="Arial" w:hAnsi="Arial" w:cs="Arial"/>
          <w:color w:val="000000"/>
          <w:sz w:val="20"/>
          <w:szCs w:val="20"/>
        </w:rPr>
        <w:t>. En Islas Baleares un 49,5% de la población ocupada obtuvo una subida salarial, y en Extremadura un 4</w:t>
      </w:r>
      <w:r w:rsidR="000A66BC">
        <w:rPr>
          <w:rFonts w:ascii="Arial" w:eastAsia="Arial" w:hAnsi="Arial" w:cs="Arial"/>
          <w:color w:val="000000"/>
          <w:sz w:val="20"/>
          <w:szCs w:val="20"/>
        </w:rPr>
        <w:t>5</w:t>
      </w:r>
      <w:r w:rsidR="003E0559">
        <w:rPr>
          <w:rFonts w:ascii="Arial" w:eastAsia="Arial" w:hAnsi="Arial" w:cs="Arial"/>
          <w:color w:val="000000"/>
          <w:sz w:val="20"/>
          <w:szCs w:val="20"/>
        </w:rPr>
        <w:t xml:space="preserve">%. </w:t>
      </w:r>
    </w:p>
    <w:p w14:paraId="238EFFE2" w14:textId="77777777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</w:rPr>
      </w:pPr>
      <w:r>
        <w:rPr>
          <w:rFonts w:ascii="Arial" w:eastAsia="Arial" w:hAnsi="Arial" w:cs="Arial"/>
          <w:color w:val="3A7AB2"/>
        </w:rPr>
        <w:t>Un 21% obtuvo un incremento inferior al 1% y perdió poder adquisitivo</w:t>
      </w:r>
    </w:p>
    <w:p w14:paraId="3FFB5612" w14:textId="16586DB8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pesar </w:t>
      </w:r>
      <w:r w:rsidR="00547CAE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que más de la mitad de la población ocupada consiguió un aumento, éste no ha sido el mismo para todos. Así, mientras un 62% de la población declara que el incremento de salario que obtuvo en 2019 se sitúa entre el 1% y el 3%, para un 14% fue de entre el 4% y el 10%, y sólo un 4% recibió un incremento superior al 10%. Cabe destacar que, </w:t>
      </w:r>
      <w:r>
        <w:rPr>
          <w:rFonts w:ascii="Arial" w:eastAsia="Arial" w:hAnsi="Arial" w:cs="Arial"/>
          <w:b/>
          <w:color w:val="000000"/>
          <w:sz w:val="20"/>
          <w:szCs w:val="20"/>
        </w:rPr>
        <w:t>un 21% confirma que tuvo un incremento inferior al 1%.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este sentido, teniendo en cuenta que el índice de precios de consumo (IPC) cerró 2018 en el 1,2%, </w:t>
      </w:r>
      <w:r>
        <w:rPr>
          <w:rFonts w:ascii="Arial" w:eastAsia="Arial" w:hAnsi="Arial" w:cs="Arial"/>
          <w:b/>
          <w:color w:val="000000"/>
          <w:sz w:val="20"/>
          <w:szCs w:val="20"/>
        </w:rPr>
        <w:t>el estudio pone de manifiesto que el año pasado un 21% de la población activa ocupada perdió poder adquisitivo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442B423" w14:textId="2C1C0265" w:rsidR="003E0559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Analizando los resultados por Comunidades Autónomas, </w:t>
      </w:r>
      <w:r w:rsidR="003E0559">
        <w:rPr>
          <w:rFonts w:ascii="Arial" w:eastAsia="Arial" w:hAnsi="Arial" w:cs="Arial"/>
          <w:color w:val="000000"/>
          <w:sz w:val="20"/>
          <w:szCs w:val="20"/>
        </w:rPr>
        <w:t xml:space="preserve">vemos como Canarias y Murcia son las comunidades donde existe un mayor porcentaje de población activa que perdió poder adquisitivo. En concreto, en </w:t>
      </w:r>
      <w:r w:rsidR="003E0559" w:rsidRPr="003E055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Canarias un 27% y en Murcia un 24% obtuvo un incremento de salario inferior al 1%. </w:t>
      </w:r>
      <w:r w:rsidRPr="00354BA0">
        <w:rPr>
          <w:rFonts w:ascii="Arial" w:eastAsia="Arial" w:hAnsi="Arial" w:cs="Arial"/>
          <w:color w:val="000000"/>
          <w:sz w:val="20"/>
          <w:szCs w:val="20"/>
        </w:rPr>
        <w:t>En el otro bando,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Asturias fue la comunidad donde un porcentaje menor de población ocupada perdió poder adquisitivo, sólo un 7%.</w:t>
      </w:r>
    </w:p>
    <w:p w14:paraId="4EAF2533" w14:textId="7D95F2D1" w:rsidR="00C66683" w:rsidRDefault="00876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7C9139BA" wp14:editId="0C2F7AEE">
            <wp:extent cx="5612130" cy="301307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mento-salarial-en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EFBE" w14:textId="6ADC4672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</w:rPr>
      </w:pPr>
    </w:p>
    <w:p w14:paraId="2D241A2D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</w:rPr>
      </w:pPr>
    </w:p>
    <w:p w14:paraId="5D0CF521" w14:textId="269157C8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</w:rPr>
      </w:pPr>
    </w:p>
    <w:p w14:paraId="041CC14A" w14:textId="15E55FAD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</w:rPr>
      </w:pPr>
      <w:r>
        <w:rPr>
          <w:rFonts w:ascii="Arial" w:eastAsia="Arial" w:hAnsi="Arial" w:cs="Arial"/>
          <w:color w:val="3A7AB2"/>
        </w:rPr>
        <w:t xml:space="preserve">Dos de cada tres, considera insuficiente el aumento  </w:t>
      </w:r>
    </w:p>
    <w:p w14:paraId="5E2FE58F" w14:textId="636B007B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 los que han obtenido una subida salarial, </w:t>
      </w:r>
      <w:r>
        <w:rPr>
          <w:rFonts w:ascii="Arial" w:eastAsia="Arial" w:hAnsi="Arial" w:cs="Arial"/>
          <w:b/>
          <w:color w:val="000000"/>
          <w:sz w:val="20"/>
          <w:szCs w:val="20"/>
        </w:rPr>
        <w:t>2 de cada 3 confiesa que no está satisfecho con el aumento percibido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Solo en el 34% de los casos, esa subida salarial es satisfactoria. Este factor se vincula a la edad: cuanto más jóvenes, más satisfechos. Mientras que para un 46% los jóvenes de entre 16 y 29 años la subida salarial ha sido suficiente, sólo un 28% de los mayores de 54 lo considera así. </w:t>
      </w:r>
    </w:p>
    <w:p w14:paraId="6E868932" w14:textId="2C852727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Por Comunidades Autónomas,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 Rioja (5</w:t>
      </w:r>
      <w:r w:rsidR="000A66BC"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%)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Navarra (5</w:t>
      </w:r>
      <w:r w:rsidR="000A66BC"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%)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son los territorios donde la población ocupada valora de forma más satisfactoria la subida salarial, seguida de Baleares (4</w:t>
      </w:r>
      <w:r w:rsidR="000A66BC"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%), Galicia </w:t>
      </w:r>
      <w:r w:rsidRPr="001C29C0">
        <w:rPr>
          <w:rFonts w:ascii="Arial" w:eastAsia="Arial" w:hAnsi="Arial" w:cs="Arial"/>
          <w:color w:val="000000"/>
          <w:sz w:val="20"/>
          <w:szCs w:val="20"/>
        </w:rPr>
        <w:t>(</w:t>
      </w:r>
      <w:r w:rsidR="001C29C0" w:rsidRPr="001C29C0">
        <w:rPr>
          <w:rFonts w:ascii="Arial" w:eastAsia="Arial" w:hAnsi="Arial" w:cs="Arial"/>
          <w:color w:val="000000"/>
          <w:sz w:val="20"/>
          <w:szCs w:val="20"/>
        </w:rPr>
        <w:t>40</w:t>
      </w:r>
      <w:r>
        <w:rPr>
          <w:rFonts w:ascii="Arial" w:eastAsia="Arial" w:hAnsi="Arial" w:cs="Arial"/>
          <w:color w:val="000000"/>
          <w:sz w:val="20"/>
          <w:szCs w:val="20"/>
        </w:rPr>
        <w:t>%) y Castilla La Mancha (</w:t>
      </w:r>
      <w:r w:rsidR="001C29C0">
        <w:rPr>
          <w:rFonts w:ascii="Arial" w:eastAsia="Arial" w:hAnsi="Arial" w:cs="Arial"/>
          <w:color w:val="000000"/>
          <w:sz w:val="20"/>
          <w:szCs w:val="20"/>
        </w:rPr>
        <w:t>40%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). En el otro bando, </w:t>
      </w:r>
      <w:r>
        <w:rPr>
          <w:rFonts w:ascii="Arial" w:eastAsia="Arial" w:hAnsi="Arial" w:cs="Arial"/>
          <w:b/>
          <w:color w:val="000000"/>
          <w:sz w:val="20"/>
          <w:szCs w:val="20"/>
        </w:rPr>
        <w:t>Murcia (82%),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Cantabria (78%) Aragón (71%) y Canarias (71%)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confiesan que ha sido insuficiente. </w:t>
      </w:r>
    </w:p>
    <w:p w14:paraId="3A4A32BC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color w:val="3A7AB2"/>
        </w:rPr>
      </w:pPr>
    </w:p>
    <w:p w14:paraId="4B891B9B" w14:textId="77777777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3A7AB2"/>
        </w:rPr>
        <w:t>La posición laboral, un factor clave en el porcentaje de incremento del salario</w:t>
      </w:r>
    </w:p>
    <w:p w14:paraId="65F4E3D2" w14:textId="4599EA4C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el estudio, observamos variables que reflejan que, a mayor posición laboral, mayor incremento en el salario.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Uno de cada tres directivos (un 33%) que percibió una subida salarial lo hizo por encima del 4%,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mientras que sólo un 1</w:t>
      </w:r>
      <w:r w:rsidR="00ED185F"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% </w:t>
      </w:r>
      <w:r w:rsidR="00547CAE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 población ocupada con una posición laboral de mando intermedio </w:t>
      </w:r>
      <w:r w:rsidR="00ED185F">
        <w:rPr>
          <w:rFonts w:ascii="Arial" w:eastAsia="Arial" w:hAnsi="Arial" w:cs="Arial"/>
          <w:color w:val="000000"/>
          <w:sz w:val="20"/>
          <w:szCs w:val="20"/>
        </w:rPr>
        <w:t>y un 17%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empleados, lo hizo. En el otro lado, observamos como </w:t>
      </w:r>
      <w:r w:rsidRPr="00ED185F">
        <w:rPr>
          <w:rFonts w:ascii="Arial" w:eastAsia="Arial" w:hAnsi="Arial" w:cs="Arial"/>
          <w:b/>
          <w:color w:val="000000"/>
          <w:sz w:val="20"/>
          <w:szCs w:val="20"/>
        </w:rPr>
        <w:t>solo un 9% de directivos han recibido un incremento porcentual inferior al 1%,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frente a mandos intermedios y empleados que lo hacen un 17% y un 23%, respectivamente.</w:t>
      </w:r>
    </w:p>
    <w:p w14:paraId="46A1ACBA" w14:textId="77777777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3A7AB2"/>
        </w:rPr>
        <w:t>Casi la mitad de la población ocupada destina el aumento al ahorro</w:t>
      </w:r>
    </w:p>
    <w:p w14:paraId="436C2D51" w14:textId="6935DF20" w:rsidR="00C66683" w:rsidRDefault="00354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Analizada la inversión derivada del aumento salarial, también se observan diferencias. Así, </w:t>
      </w:r>
      <w:r>
        <w:rPr>
          <w:rFonts w:ascii="Arial" w:eastAsia="Arial" w:hAnsi="Arial" w:cs="Arial"/>
          <w:b/>
          <w:color w:val="000000"/>
          <w:sz w:val="20"/>
          <w:szCs w:val="20"/>
        </w:rPr>
        <w:t>un 44</w:t>
      </w:r>
      <w:r w:rsidR="001C29C0">
        <w:rPr>
          <w:rFonts w:ascii="Arial" w:eastAsia="Arial" w:hAnsi="Arial" w:cs="Arial"/>
          <w:b/>
          <w:color w:val="000000"/>
          <w:sz w:val="20"/>
          <w:szCs w:val="20"/>
        </w:rPr>
        <w:t>,5</w:t>
      </w:r>
      <w:r>
        <w:rPr>
          <w:rFonts w:ascii="Arial" w:eastAsia="Arial" w:hAnsi="Arial" w:cs="Arial"/>
          <w:b/>
          <w:color w:val="000000"/>
          <w:sz w:val="20"/>
          <w:szCs w:val="20"/>
        </w:rPr>
        <w:t>% de la población ocupada indica que dedica lo que ha percibido como aumento al ahorro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frente al </w:t>
      </w:r>
      <w:r>
        <w:rPr>
          <w:rFonts w:ascii="Arial" w:eastAsia="Arial" w:hAnsi="Arial" w:cs="Arial"/>
          <w:b/>
          <w:color w:val="000000"/>
          <w:sz w:val="20"/>
          <w:szCs w:val="20"/>
        </w:rPr>
        <w:t>22% que asegura invertirlo en ocio y consumo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le sigue </w:t>
      </w:r>
      <w:r>
        <w:rPr>
          <w:rFonts w:ascii="Arial" w:eastAsia="Arial" w:hAnsi="Arial" w:cs="Arial"/>
          <w:b/>
          <w:color w:val="000000"/>
          <w:sz w:val="20"/>
          <w:szCs w:val="20"/>
        </w:rPr>
        <w:t>un 18% que lo destina a viajar.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observamos las inversiones de los aumentos por género, vemos </w:t>
      </w:r>
      <w:r w:rsidR="006607C5">
        <w:rPr>
          <w:rFonts w:ascii="Arial" w:eastAsia="Arial" w:hAnsi="Arial" w:cs="Arial"/>
          <w:color w:val="000000"/>
          <w:sz w:val="20"/>
          <w:szCs w:val="20"/>
        </w:rPr>
        <w:t>que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mientras el 15% de los hombres dedican el aumento a amortizar la hipoteca, solo un 8% de las mujeres lo hace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Igualmente, </w:t>
      </w:r>
      <w:r>
        <w:rPr>
          <w:rFonts w:ascii="Arial" w:eastAsia="Arial" w:hAnsi="Arial" w:cs="Arial"/>
          <w:b/>
          <w:color w:val="000000"/>
          <w:sz w:val="20"/>
          <w:szCs w:val="20"/>
        </w:rPr>
        <w:t>los hombres invierten más en ocio (24%) frente a las mujeres (20%).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Y, lo mismo ocurre con los planes de pensiones</w:t>
      </w:r>
      <w:r w:rsidR="00ED185F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 </w:t>
      </w:r>
      <w:r w:rsidR="001C29C0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% de los hombres dedican su incremento a los planes, mientras sólo lo hacen el 3% de mujeres.</w:t>
      </w:r>
    </w:p>
    <w:p w14:paraId="09DB5521" w14:textId="4F1E0C2D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C608B7" w14:textId="77777777" w:rsidR="000A66BC" w:rsidRDefault="000A66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5D78C1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EE4C92" w14:textId="77777777" w:rsidR="00C66683" w:rsidRDefault="00354BA0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lastRenderedPageBreak/>
        <w:t>Nota metodológica del informe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</w:p>
    <w:p w14:paraId="2AFC4951" w14:textId="77777777" w:rsidR="00C66683" w:rsidRDefault="00354BA0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Encuesta online realizada en octubre de 2019 a un panel independiente representativo de la población ocupada española (según EPA2019T3), con una muestra de 3.226 personas. Error muestral 1,7% para un intervalo de confianza del 95%.</w:t>
      </w:r>
    </w:p>
    <w:p w14:paraId="2B957ED2" w14:textId="77777777" w:rsidR="00C66683" w:rsidRDefault="00C66683">
      <w:pPr>
        <w:spacing w:line="276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212F0253" w14:textId="77777777" w:rsidR="00C66683" w:rsidRDefault="00354BA0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4294967289" distB="4294967289" distL="114300" distR="114300" simplePos="0" relativeHeight="251660288" behindDoc="0" locked="0" layoutInCell="1" hidden="0" allowOverlap="1" wp14:anchorId="30149D26" wp14:editId="21DD819D">
                <wp:simplePos x="0" y="0"/>
                <wp:positionH relativeFrom="column">
                  <wp:posOffset>1</wp:posOffset>
                </wp:positionH>
                <wp:positionV relativeFrom="paragraph">
                  <wp:posOffset>144790</wp:posOffset>
                </wp:positionV>
                <wp:extent cx="57454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EABAB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89" distT="4294967289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144790</wp:posOffset>
                </wp:positionV>
                <wp:extent cx="57454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79014C" w14:textId="77777777" w:rsidR="00C66683" w:rsidRDefault="00354BA0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808080"/>
          <w:sz w:val="16"/>
          <w:szCs w:val="16"/>
          <w:u w:val="single"/>
        </w:rPr>
        <w:t>Sobre InfoJobs</w:t>
      </w:r>
    </w:p>
    <w:p w14:paraId="74337D99" w14:textId="77777777" w:rsidR="00C66683" w:rsidRDefault="00354BA0">
      <w:pPr>
        <w:spacing w:line="360" w:lineRule="auto"/>
        <w:jc w:val="both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Actualmente 7 de cada 10 ofertas publicadas en internet están en InfoJobs, ascendiendo el último año a más de 3.000.000 empleos. </w:t>
      </w:r>
      <w:r>
        <w:rPr>
          <w:rFonts w:ascii="Arial" w:eastAsia="Arial" w:hAnsi="Arial" w:cs="Arial"/>
          <w:color w:val="7F7F7F"/>
          <w:sz w:val="16"/>
          <w:szCs w:val="16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7666513D" w14:textId="77777777" w:rsidR="00C66683" w:rsidRDefault="00354BA0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una empresa 100% especialista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marketplaces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digitales, el único “pure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player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” del sector a nivel mundial con presencia en 16 países de Europa, América Latina y África del Norte.  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en España, antes Schibsted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Spain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cuenta con una plantilla de más de 1.000 empleados, y opera a través de Fotocasa,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habitaclia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Coches.net, Motos.net,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Milanuncios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vibbo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 Juntas sitúan a la compañía en el top 10 de empresas con mayor audiencia de internet en nuestro país.</w:t>
      </w:r>
    </w:p>
    <w:p w14:paraId="4E477856" w14:textId="77777777" w:rsidR="00C66683" w:rsidRDefault="00C66683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val="single"/>
        </w:rPr>
      </w:pPr>
    </w:p>
    <w:p w14:paraId="26E059BB" w14:textId="77777777" w:rsidR="00C66683" w:rsidRDefault="00354BA0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  <w:u w:val="single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07DF1049" w14:textId="77777777" w:rsidR="00C66683" w:rsidRDefault="00354BA0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: Sara Rius 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: Marta Martín / Marta Sevilla  </w:t>
      </w:r>
    </w:p>
    <w:p w14:paraId="13808096" w14:textId="77777777" w:rsidR="00C66683" w:rsidRDefault="001C29C0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4">
        <w:r w:rsidR="00354BA0"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 w:rsidR="00354BA0">
        <w:rPr>
          <w:rFonts w:ascii="Arial" w:eastAsia="Arial" w:hAnsi="Arial" w:cs="Arial"/>
          <w:color w:val="4F81BD"/>
          <w:sz w:val="18"/>
          <w:szCs w:val="18"/>
        </w:rPr>
        <w:tab/>
      </w:r>
      <w:r w:rsidR="00354BA0">
        <w:rPr>
          <w:rFonts w:ascii="Arial" w:eastAsia="Arial" w:hAnsi="Arial" w:cs="Arial"/>
          <w:color w:val="4F81BD"/>
          <w:sz w:val="18"/>
          <w:szCs w:val="18"/>
        </w:rPr>
        <w:tab/>
      </w:r>
      <w:r w:rsidR="00354BA0">
        <w:rPr>
          <w:rFonts w:ascii="Arial" w:eastAsia="Arial" w:hAnsi="Arial" w:cs="Arial"/>
          <w:color w:val="4F81BD"/>
          <w:sz w:val="18"/>
          <w:szCs w:val="18"/>
        </w:rPr>
        <w:tab/>
      </w:r>
      <w:r w:rsidR="00354BA0">
        <w:rPr>
          <w:rFonts w:ascii="Arial" w:eastAsia="Arial" w:hAnsi="Arial" w:cs="Arial"/>
          <w:color w:val="4F81BD"/>
          <w:sz w:val="18"/>
          <w:szCs w:val="18"/>
        </w:rPr>
        <w:tab/>
      </w:r>
      <w:hyperlink r:id="rId15">
        <w:r w:rsidR="00354BA0"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</w:p>
    <w:p w14:paraId="43D1B995" w14:textId="77777777" w:rsidR="00C66683" w:rsidRDefault="00354BA0">
      <w:pPr>
        <w:spacing w:line="360" w:lineRule="auto"/>
        <w:jc w:val="both"/>
      </w:pPr>
      <w:r>
        <w:rPr>
          <w:rFonts w:ascii="Arial" w:eastAsia="Arial" w:hAnsi="Arial" w:cs="Arial"/>
          <w:color w:val="7F7F7F"/>
          <w:sz w:val="18"/>
          <w:szCs w:val="18"/>
        </w:rPr>
        <w:t>T. 608 69 87 54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  <w:t>T. 93 415 37 05</w:t>
      </w:r>
      <w:r>
        <w:rPr>
          <w:noProof/>
        </w:rPr>
        <mc:AlternateContent>
          <mc:Choice Requires="wpg">
            <w:drawing>
              <wp:anchor distT="4294967289" distB="4294967289" distL="114300" distR="114300" simplePos="0" relativeHeight="251661312" behindDoc="0" locked="0" layoutInCell="1" hidden="0" allowOverlap="1" wp14:anchorId="49C23076" wp14:editId="39CA0332">
                <wp:simplePos x="0" y="0"/>
                <wp:positionH relativeFrom="column">
                  <wp:posOffset>1</wp:posOffset>
                </wp:positionH>
                <wp:positionV relativeFrom="paragraph">
                  <wp:posOffset>297190</wp:posOffset>
                </wp:positionV>
                <wp:extent cx="574548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EABAB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89" distT="4294967289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297190</wp:posOffset>
                </wp:positionV>
                <wp:extent cx="574548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C960B8" w14:textId="77777777" w:rsidR="00C66683" w:rsidRDefault="00C666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A7A9AC"/>
          <w:sz w:val="16"/>
          <w:szCs w:val="16"/>
        </w:rPr>
      </w:pPr>
    </w:p>
    <w:sectPr w:rsidR="00C66683">
      <w:headerReference w:type="default" r:id="rId17"/>
      <w:pgSz w:w="12240" w:h="15840"/>
      <w:pgMar w:top="1417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DD91" w14:textId="77777777" w:rsidR="00600BCB" w:rsidRDefault="00600BCB">
      <w:pPr>
        <w:spacing w:after="0" w:line="240" w:lineRule="auto"/>
      </w:pPr>
      <w:r>
        <w:separator/>
      </w:r>
    </w:p>
  </w:endnote>
  <w:endnote w:type="continuationSeparator" w:id="0">
    <w:p w14:paraId="35761993" w14:textId="77777777" w:rsidR="00600BCB" w:rsidRDefault="006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3BC6" w14:textId="77777777" w:rsidR="00600BCB" w:rsidRDefault="00600BCB">
      <w:pPr>
        <w:spacing w:after="0" w:line="240" w:lineRule="auto"/>
      </w:pPr>
      <w:r>
        <w:separator/>
      </w:r>
    </w:p>
  </w:footnote>
  <w:footnote w:type="continuationSeparator" w:id="0">
    <w:p w14:paraId="0539171F" w14:textId="77777777" w:rsidR="00600BCB" w:rsidRDefault="0060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4A69" w14:textId="173807FC" w:rsidR="00C66683" w:rsidRDefault="00474C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color w:val="919191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5729E226" wp14:editId="02B2E3A3">
          <wp:simplePos x="0" y="0"/>
          <wp:positionH relativeFrom="column">
            <wp:posOffset>5897245</wp:posOffset>
          </wp:positionH>
          <wp:positionV relativeFrom="paragraph">
            <wp:posOffset>-492760</wp:posOffset>
          </wp:positionV>
          <wp:extent cx="643255" cy="638175"/>
          <wp:effectExtent l="0" t="0" r="0" b="0"/>
          <wp:wrapSquare wrapText="bothSides" distT="152400" distB="152400" distL="152400" distR="1524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3CDAA8" wp14:editId="1CB665AB">
              <wp:simplePos x="0" y="0"/>
              <wp:positionH relativeFrom="page">
                <wp:posOffset>5715</wp:posOffset>
              </wp:positionH>
              <wp:positionV relativeFrom="paragraph">
                <wp:posOffset>-192405</wp:posOffset>
              </wp:positionV>
              <wp:extent cx="7790180" cy="1028700"/>
              <wp:effectExtent l="0" t="0" r="127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790180" cy="10287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0BE4C" id="Rectángulo 8" o:spid="_x0000_s1026" style="position:absolute;margin-left:.45pt;margin-top:-15.15pt;width:613.4pt;height:8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" fillcolor="#f2f2f2" stroked="f" strokeweight="1pt">
              <w10:wrap anchorx="page"/>
            </v:rect>
          </w:pict>
        </mc:Fallback>
      </mc:AlternateContent>
    </w:r>
    <w:r w:rsidR="00354BA0">
      <w:rPr>
        <w:rFonts w:ascii="Arial" w:eastAsia="Arial" w:hAnsi="Arial" w:cs="Arial"/>
        <w:color w:val="919191"/>
        <w:sz w:val="20"/>
        <w:szCs w:val="20"/>
      </w:rPr>
      <w:t xml:space="preserve">      Estudio de InfoJobs sobre la subida salarial </w:t>
    </w:r>
    <w:r w:rsidR="00354BA0">
      <w:rPr>
        <w:noProof/>
      </w:rPr>
      <w:drawing>
        <wp:anchor distT="0" distB="0" distL="114300" distR="114300" simplePos="0" relativeHeight="251658240" behindDoc="0" locked="0" layoutInCell="1" hidden="0" allowOverlap="1" wp14:anchorId="702AF112" wp14:editId="3A6F33FA">
          <wp:simplePos x="0" y="0"/>
          <wp:positionH relativeFrom="column">
            <wp:posOffset>-331468</wp:posOffset>
          </wp:positionH>
          <wp:positionV relativeFrom="paragraph">
            <wp:posOffset>-288924</wp:posOffset>
          </wp:positionV>
          <wp:extent cx="1732915" cy="752475"/>
          <wp:effectExtent l="0" t="0" r="0" b="0"/>
          <wp:wrapSquare wrapText="bothSides" distT="0" distB="0" distL="114300" distR="11430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91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886579" w14:textId="22C2DD44" w:rsidR="00C66683" w:rsidRDefault="00354B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color w:val="919191"/>
        <w:sz w:val="20"/>
        <w:szCs w:val="20"/>
      </w:rPr>
    </w:pPr>
    <w:r>
      <w:rPr>
        <w:rFonts w:ascii="Arial" w:eastAsia="Arial" w:hAnsi="Arial" w:cs="Arial"/>
        <w:color w:val="919191"/>
        <w:sz w:val="20"/>
        <w:szCs w:val="20"/>
      </w:rPr>
      <w:t>de la población activa en 2019</w:t>
    </w:r>
  </w:p>
  <w:p w14:paraId="5DA9D029" w14:textId="4E791C1B" w:rsidR="00C66683" w:rsidRDefault="00354B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color w:val="919191"/>
        <w:sz w:val="20"/>
        <w:szCs w:val="20"/>
      </w:rPr>
    </w:pPr>
    <w:r>
      <w:rPr>
        <w:rFonts w:ascii="Arial" w:eastAsia="Arial" w:hAnsi="Arial" w:cs="Arial"/>
        <w:color w:val="919191"/>
        <w:sz w:val="20"/>
        <w:szCs w:val="20"/>
      </w:rPr>
      <w:t xml:space="preserve"> </w:t>
    </w:r>
  </w:p>
  <w:p w14:paraId="56A3A2D0" w14:textId="13DFDAD5" w:rsidR="00C66683" w:rsidRDefault="00354BA0">
    <w:r>
      <w:tab/>
    </w:r>
  </w:p>
  <w:p w14:paraId="5EA9F14F" w14:textId="77777777" w:rsidR="00C66683" w:rsidRDefault="00C66683">
    <w:pPr>
      <w:pBdr>
        <w:top w:val="nil"/>
        <w:left w:val="nil"/>
        <w:bottom w:val="nil"/>
        <w:right w:val="nil"/>
        <w:between w:val="nil"/>
      </w:pBdr>
      <w:tabs>
        <w:tab w:val="left" w:pos="5961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C7D"/>
    <w:multiLevelType w:val="multilevel"/>
    <w:tmpl w:val="97D448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5169D"/>
    <w:multiLevelType w:val="hybridMultilevel"/>
    <w:tmpl w:val="7C08A97C"/>
    <w:lvl w:ilvl="0" w:tplc="FB50E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E2E79"/>
    <w:multiLevelType w:val="multilevel"/>
    <w:tmpl w:val="3546093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83"/>
    <w:rsid w:val="00041438"/>
    <w:rsid w:val="000A66BC"/>
    <w:rsid w:val="00111CFD"/>
    <w:rsid w:val="001C29C0"/>
    <w:rsid w:val="0022521F"/>
    <w:rsid w:val="00354BA0"/>
    <w:rsid w:val="003E0559"/>
    <w:rsid w:val="00410D3B"/>
    <w:rsid w:val="00474C3F"/>
    <w:rsid w:val="00547CAE"/>
    <w:rsid w:val="005C277A"/>
    <w:rsid w:val="00600BCB"/>
    <w:rsid w:val="00611AD6"/>
    <w:rsid w:val="006607C5"/>
    <w:rsid w:val="00731583"/>
    <w:rsid w:val="0087647F"/>
    <w:rsid w:val="00B641C6"/>
    <w:rsid w:val="00BC5BE1"/>
    <w:rsid w:val="00C0177E"/>
    <w:rsid w:val="00C66683"/>
    <w:rsid w:val="00CA06E7"/>
    <w:rsid w:val="00EA5040"/>
    <w:rsid w:val="00ED185F"/>
    <w:rsid w:val="00E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481F7"/>
  <w15:docId w15:val="{4E4CB5ED-1BFA-497E-B302-0B5802E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3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4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C3F"/>
  </w:style>
  <w:style w:type="paragraph" w:styleId="Piedepgina">
    <w:name w:val="footer"/>
    <w:basedOn w:val="Normal"/>
    <w:link w:val="PiedepginaCar"/>
    <w:uiPriority w:val="99"/>
    <w:unhideWhenUsed/>
    <w:rsid w:val="00474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C3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jobs.ne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infojobs@evercom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mailto:prensa@infojob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6250</Characters>
  <Application>Microsoft Office Word</Application>
  <DocSecurity>4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Martín</dc:creator>
  <cp:lastModifiedBy>Marta Martín</cp:lastModifiedBy>
  <cp:revision>2</cp:revision>
  <dcterms:created xsi:type="dcterms:W3CDTF">2020-01-28T08:48:00Z</dcterms:created>
  <dcterms:modified xsi:type="dcterms:W3CDTF">2020-01-28T08:48:00Z</dcterms:modified>
</cp:coreProperties>
</file>