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65F0" w14:textId="77777777" w:rsidR="000B7CD0" w:rsidRPr="000B7CD0" w:rsidRDefault="000B7CD0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</w:pPr>
    </w:p>
    <w:p w14:paraId="7B061DCE" w14:textId="61FF9BF1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90241E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febrero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A5696F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9</w:t>
      </w:r>
    </w:p>
    <w:p w14:paraId="34B25E00" w14:textId="77777777" w:rsidR="00625423" w:rsidRPr="000B7CD0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653B396D" w14:textId="04E534D9" w:rsidR="00FD5BF2" w:rsidRPr="00AD0B32" w:rsidRDefault="00FD5BF2" w:rsidP="00FD5BF2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En febrero, InfoJobs recoge más de 220.000 vacantes para trabajar en España</w:t>
      </w:r>
    </w:p>
    <w:p w14:paraId="69599151" w14:textId="77777777" w:rsidR="009B5411" w:rsidRPr="00AF5897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32"/>
          <w:lang w:val="es-ES_tradnl"/>
        </w:rPr>
      </w:pPr>
    </w:p>
    <w:p w14:paraId="38C9E4FB" w14:textId="79D6E863" w:rsidR="00AD0B32" w:rsidRPr="00AD0B32" w:rsidRDefault="00EC5518" w:rsidP="00AD0B3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 modalidad contractual indefinida </w:t>
      </w:r>
      <w:r w:rsidR="001725DD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>ha sido</w:t>
      </w:r>
      <w:r w:rsidR="00B705CD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la más ofertada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durante el pasado mes</w:t>
      </w:r>
      <w:r w:rsidR="00B705CD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, </w:t>
      </w:r>
      <w:r w:rsidR="00BB0177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con </w:t>
      </w:r>
      <w:r w:rsidR="007A4DFE">
        <w:rPr>
          <w:rFonts w:ascii="Arial" w:hAnsi="Arial" w:cs="Arial"/>
          <w:b/>
          <w:color w:val="27AAE1"/>
          <w:sz w:val="20"/>
          <w:szCs w:val="20"/>
          <w:lang w:val="es-ES_tradnl"/>
        </w:rPr>
        <w:t>un total de 68.512</w:t>
      </w:r>
      <w:r w:rsidR="00D16CC7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vacantes</w:t>
      </w:r>
      <w:r w:rsidR="00F3449C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publicadas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en la plataforma</w:t>
      </w:r>
    </w:p>
    <w:p w14:paraId="120F3482" w14:textId="77777777" w:rsidR="00695D41" w:rsidRPr="00AD0B32" w:rsidRDefault="00695D41" w:rsidP="00695D41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7436709D" w14:textId="47B9C1E8" w:rsidR="00EF5552" w:rsidRPr="00597739" w:rsidRDefault="00695D41" w:rsidP="00D710F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Madrid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 con el 31% de las vacantes publicadas en España, y</w:t>
      </w:r>
      <w:r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Cataluña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 que acumula el 2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5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%</w:t>
      </w:r>
      <w:r w:rsidR="00F3449C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son las Comunidades que más empleo 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han generado 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>en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>febrero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. 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Por su parte, </w:t>
      </w:r>
      <w:r w:rsidR="001944FD">
        <w:rPr>
          <w:rFonts w:ascii="Arial" w:hAnsi="Arial" w:cs="Arial"/>
          <w:b/>
          <w:color w:val="27AAE1"/>
          <w:sz w:val="20"/>
          <w:szCs w:val="20"/>
          <w:lang w:val="es-ES_tradnl"/>
        </w:rPr>
        <w:t>Cantabria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ha sido la 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C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omunidad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que ha experimentado un </w:t>
      </w:r>
      <w:r w:rsidR="0021612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mayor 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crecimiento</w:t>
      </w:r>
      <w:r w:rsidR="001944FD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, 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con un aumento del </w:t>
      </w:r>
      <w:r w:rsidR="001944FD">
        <w:rPr>
          <w:rFonts w:ascii="Arial" w:hAnsi="Arial" w:cs="Arial"/>
          <w:b/>
          <w:color w:val="27AAE1"/>
          <w:sz w:val="20"/>
          <w:szCs w:val="20"/>
          <w:lang w:val="es-ES_tradnl"/>
        </w:rPr>
        <w:t>7</w:t>
      </w:r>
      <w:r w:rsidR="00FD5BF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% respecto al </w:t>
      </w:r>
      <w:r w:rsidR="001944FD">
        <w:rPr>
          <w:rFonts w:ascii="Arial" w:hAnsi="Arial" w:cs="Arial"/>
          <w:b/>
          <w:color w:val="27AAE1"/>
          <w:sz w:val="20"/>
          <w:szCs w:val="20"/>
          <w:lang w:val="es-ES_tradnl"/>
        </w:rPr>
        <w:t>mes anterior</w:t>
      </w: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3926BBF9" w:rsidR="00877F36" w:rsidRDefault="009E5B68" w:rsidP="001944FD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 xml:space="preserve">a </w:t>
      </w:r>
      <w:r w:rsidR="001944FD">
        <w:rPr>
          <w:b/>
        </w:rPr>
        <w:t>11</w:t>
      </w:r>
      <w:r w:rsidR="004C3514" w:rsidRPr="00780168">
        <w:rPr>
          <w:b/>
        </w:rPr>
        <w:t xml:space="preserve"> de </w:t>
      </w:r>
      <w:r w:rsidR="001944FD">
        <w:rPr>
          <w:b/>
        </w:rPr>
        <w:t>marzo</w:t>
      </w:r>
      <w:r w:rsidR="00160ADF" w:rsidRPr="00780168">
        <w:rPr>
          <w:b/>
        </w:rPr>
        <w:t xml:space="preserve"> de 201</w:t>
      </w:r>
      <w:r w:rsidR="00A5696F">
        <w:rPr>
          <w:b/>
        </w:rPr>
        <w:t>9</w:t>
      </w:r>
      <w:r w:rsidRPr="00780168">
        <w:rPr>
          <w:b/>
        </w:rPr>
        <w:t>.-</w:t>
      </w:r>
      <w:r w:rsidRPr="00780168">
        <w:t xml:space="preserve"> </w:t>
      </w:r>
      <w:r w:rsidR="00AD0B32">
        <w:t xml:space="preserve">Como cada mes,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AD0B32">
        <w:t>ha estudiado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</w:t>
      </w:r>
      <w:r w:rsidR="00AD0B32">
        <w:t>,</w:t>
      </w:r>
      <w:r w:rsidR="007A7F58">
        <w:t xml:space="preserve"> cuáles son las mejores oportunidades para encontrar trabajo</w:t>
      </w:r>
      <w:r w:rsidR="00AD0B32">
        <w:t xml:space="preserve"> y cómo es el perfil de los candidatos</w:t>
      </w:r>
      <w:r w:rsidRPr="00780168">
        <w:t xml:space="preserve">. </w:t>
      </w:r>
      <w:r w:rsidR="00AD0B32">
        <w:rPr>
          <w:b/>
        </w:rPr>
        <w:t xml:space="preserve">El pasado mes de </w:t>
      </w:r>
      <w:r w:rsidR="00FD5BF2">
        <w:rPr>
          <w:b/>
        </w:rPr>
        <w:t>febrero</w:t>
      </w:r>
      <w:r w:rsidR="00781811">
        <w:rPr>
          <w:b/>
        </w:rPr>
        <w:t xml:space="preserve">, InfoJobs </w:t>
      </w:r>
      <w:r w:rsidR="00AD0B32">
        <w:rPr>
          <w:b/>
        </w:rPr>
        <w:t>registraba</w:t>
      </w:r>
      <w:r w:rsidR="00781811">
        <w:rPr>
          <w:b/>
        </w:rPr>
        <w:t xml:space="preserve"> un total de </w:t>
      </w:r>
      <w:r w:rsidR="00FD5BF2">
        <w:rPr>
          <w:b/>
        </w:rPr>
        <w:t>221.946</w:t>
      </w:r>
      <w:r w:rsidR="00781811">
        <w:rPr>
          <w:b/>
        </w:rPr>
        <w:t xml:space="preserve"> puestos de trabajo en España</w:t>
      </w:r>
      <w:r w:rsidR="00364BFF">
        <w:rPr>
          <w:b/>
        </w:rPr>
        <w:t xml:space="preserve">, con </w:t>
      </w:r>
      <w:r w:rsidR="00664FE6">
        <w:rPr>
          <w:b/>
        </w:rPr>
        <w:t>un descenso de las vacantes del 9</w:t>
      </w:r>
      <w:r w:rsidR="00364BFF">
        <w:rPr>
          <w:b/>
        </w:rPr>
        <w:t>% respecto al mes anterior</w:t>
      </w:r>
      <w:r w:rsidR="00781811">
        <w:rPr>
          <w:b/>
        </w:rPr>
        <w:t>.</w:t>
      </w:r>
      <w:r w:rsidR="003337B4">
        <w:rPr>
          <w:b/>
        </w:rPr>
        <w:t xml:space="preserve"> </w:t>
      </w:r>
    </w:p>
    <w:p w14:paraId="4CCA866B" w14:textId="5F1C1AF3" w:rsidR="00877F36" w:rsidRDefault="00877F36" w:rsidP="001944FD">
      <w:pPr>
        <w:pStyle w:val="IJTextonormal"/>
      </w:pPr>
    </w:p>
    <w:p w14:paraId="6A1955A6" w14:textId="639C772D" w:rsidR="00664FE6" w:rsidRDefault="004D18E6" w:rsidP="001944FD">
      <w:pPr>
        <w:pStyle w:val="IJTextonormal"/>
      </w:pPr>
      <w:r w:rsidRPr="004D18E6">
        <w:t xml:space="preserve">Históricamente, tras la Navidad y la campaña de rebajas, el empleo en España frena su evolución positiva, dando paso a un periodo valle para la generación de puestos de trabajo. De la misma manera, esta situación </w:t>
      </w:r>
      <w:r w:rsidR="0061003D">
        <w:t>podría recuperarse</w:t>
      </w:r>
      <w:r w:rsidRPr="004D18E6">
        <w:t xml:space="preserve"> semanas después, gracias a la contratación provocada por la Semana Santa y a las vacantes de trabajo que este período genera en nuestro país.  </w:t>
      </w:r>
    </w:p>
    <w:p w14:paraId="53C22F26" w14:textId="77777777" w:rsidR="004D18E6" w:rsidRPr="004D18E6" w:rsidRDefault="004D18E6" w:rsidP="001944FD">
      <w:pPr>
        <w:pStyle w:val="IJTextonormal"/>
        <w:rPr>
          <w:sz w:val="28"/>
          <w:szCs w:val="28"/>
          <w:lang w:val="es-ES"/>
        </w:rPr>
      </w:pPr>
    </w:p>
    <w:p w14:paraId="2D2E3DB5" w14:textId="6E87D208" w:rsidR="00F80B2B" w:rsidRPr="00F80B2B" w:rsidRDefault="00BB0177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 xml:space="preserve">Comercial y ventas y </w:t>
      </w:r>
      <w:r w:rsidR="00664FE6">
        <w:rPr>
          <w:rFonts w:ascii="Arial" w:hAnsi="Arial" w:cs="Arial"/>
          <w:b/>
          <w:color w:val="27AAE1"/>
          <w:sz w:val="20"/>
          <w:lang w:val="es-ES_tradnl"/>
        </w:rPr>
        <w:t>el sector TI</w:t>
      </w:r>
      <w:r>
        <w:rPr>
          <w:rFonts w:ascii="Arial" w:hAnsi="Arial" w:cs="Arial"/>
          <w:b/>
          <w:color w:val="27AAE1"/>
          <w:sz w:val="20"/>
          <w:lang w:val="es-ES_tradnl"/>
        </w:rPr>
        <w:t>, l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os </w:t>
      </w:r>
      <w:r w:rsidR="00664FE6">
        <w:rPr>
          <w:rFonts w:ascii="Arial" w:hAnsi="Arial" w:cs="Arial"/>
          <w:b/>
          <w:color w:val="27AAE1"/>
          <w:sz w:val="20"/>
          <w:lang w:val="es-ES_tradnl"/>
        </w:rPr>
        <w:t>que más empleo generan en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España</w:t>
      </w:r>
    </w:p>
    <w:p w14:paraId="62020AD7" w14:textId="28F7D1A6" w:rsidR="00F80B2B" w:rsidRDefault="00F80B2B" w:rsidP="001944FD">
      <w:pPr>
        <w:pStyle w:val="IJTextonormal"/>
      </w:pPr>
    </w:p>
    <w:p w14:paraId="4632934A" w14:textId="30A30AA0" w:rsidR="003337B4" w:rsidRDefault="00664FE6" w:rsidP="001944FD">
      <w:pPr>
        <w:pStyle w:val="IJTextonormal"/>
      </w:pPr>
      <w:r>
        <w:t xml:space="preserve">El sector de la </w:t>
      </w:r>
      <w:r w:rsidRPr="00664FE6">
        <w:rPr>
          <w:b/>
          <w:i/>
        </w:rPr>
        <w:t>Informática y las telecomunicaciones</w:t>
      </w:r>
      <w:r>
        <w:t>, no solo es uno de los que ofrece mejores oportunidades laborales en España</w:t>
      </w:r>
      <w:r w:rsidR="000B7CD0">
        <w:t xml:space="preserve"> (a nivel de salarios y competencia por vacante)</w:t>
      </w:r>
      <w:r>
        <w:t>, sino que además es clave en la generación de empleo en nuestro país. El pasado mes de febrero se registraron un total de 31.003</w:t>
      </w:r>
      <w:r w:rsidR="00D3638B">
        <w:t xml:space="preserve"> vacantes en InfoJobs</w:t>
      </w:r>
      <w:r>
        <w:t xml:space="preserve"> para el sector TI, solo superado por el sector</w:t>
      </w:r>
      <w:r w:rsidR="00EA5F46">
        <w:t xml:space="preserve"> de</w:t>
      </w:r>
      <w:r w:rsidR="00D3638B">
        <w:t xml:space="preserve"> </w:t>
      </w:r>
      <w:r w:rsidR="00D3638B" w:rsidRPr="00416279">
        <w:rPr>
          <w:b/>
          <w:i/>
        </w:rPr>
        <w:t>Comercial y ventas</w:t>
      </w:r>
      <w:r w:rsidR="00D3638B">
        <w:t>, que acumul</w:t>
      </w:r>
      <w:r w:rsidR="00EA5F46">
        <w:t>ó</w:t>
      </w:r>
      <w:r w:rsidR="00D3638B">
        <w:t xml:space="preserve"> </w:t>
      </w:r>
      <w:r>
        <w:t>47.944</w:t>
      </w:r>
      <w:r w:rsidR="00416279">
        <w:t xml:space="preserve"> vacantes en la plataforma. </w:t>
      </w:r>
    </w:p>
    <w:p w14:paraId="38AA7E76" w14:textId="0B578394" w:rsidR="008765F3" w:rsidRDefault="008765F3" w:rsidP="001944FD">
      <w:pPr>
        <w:pStyle w:val="IJTextonormal"/>
      </w:pPr>
    </w:p>
    <w:p w14:paraId="1FB64833" w14:textId="4B9303A5" w:rsidR="00892BD7" w:rsidRDefault="00664FE6" w:rsidP="001944FD">
      <w:pPr>
        <w:pStyle w:val="IJTextonormal"/>
      </w:pPr>
      <w:r>
        <w:t>A estos sectores les siguen</w:t>
      </w:r>
      <w:r w:rsidR="00416279">
        <w:t xml:space="preserve"> </w:t>
      </w:r>
      <w:r w:rsidR="00416279" w:rsidRPr="00416279">
        <w:rPr>
          <w:b/>
          <w:i/>
        </w:rPr>
        <w:t>Atención a clientes</w:t>
      </w:r>
      <w:r w:rsidR="00416279">
        <w:t xml:space="preserve"> (</w:t>
      </w:r>
      <w:r>
        <w:t>23.243</w:t>
      </w:r>
      <w:r w:rsidR="00416279">
        <w:t xml:space="preserve"> vacantes</w:t>
      </w:r>
      <w:r w:rsidR="000B7CD0">
        <w:t xml:space="preserve"> publicadas</w:t>
      </w:r>
      <w:r w:rsidR="00416279">
        <w:t>)</w:t>
      </w:r>
      <w:r>
        <w:t xml:space="preserve"> y</w:t>
      </w:r>
      <w:r w:rsidR="00416279">
        <w:t xml:space="preserve"> </w:t>
      </w:r>
      <w:r w:rsidR="00416279" w:rsidRPr="00416279">
        <w:rPr>
          <w:b/>
          <w:i/>
        </w:rPr>
        <w:t>Compras, logística y almacén</w:t>
      </w:r>
      <w:r w:rsidR="00416279">
        <w:t xml:space="preserve"> (17.</w:t>
      </w:r>
      <w:r>
        <w:t>022</w:t>
      </w:r>
      <w:r w:rsidR="00416279">
        <w:t xml:space="preserve"> vacantes</w:t>
      </w:r>
      <w:r w:rsidR="007A4DFE">
        <w:t xml:space="preserve">). Por su parte, el sector de </w:t>
      </w:r>
      <w:r w:rsidR="007A4DFE" w:rsidRPr="007A4DFE">
        <w:rPr>
          <w:b/>
          <w:i/>
        </w:rPr>
        <w:t>Turismo y Restauración</w:t>
      </w:r>
      <w:r w:rsidR="000B7CD0">
        <w:rPr>
          <w:b/>
          <w:i/>
        </w:rPr>
        <w:t xml:space="preserve">, </w:t>
      </w:r>
      <w:r w:rsidR="000B7CD0">
        <w:t>que sigue siendo una importante fuente de empleo en España,</w:t>
      </w:r>
      <w:r w:rsidR="007A4DFE">
        <w:t xml:space="preserve"> acumulaba 12.695 vacantes el pasado mes de febrero. </w:t>
      </w:r>
    </w:p>
    <w:p w14:paraId="1369C95D" w14:textId="5C5EA0EB" w:rsidR="000B7CD0" w:rsidRDefault="000B7CD0" w:rsidP="001944FD">
      <w:pPr>
        <w:pStyle w:val="IJTextonormal"/>
      </w:pPr>
    </w:p>
    <w:p w14:paraId="0F1CD4DB" w14:textId="38B375CE" w:rsidR="00EC5518" w:rsidRPr="00F80B2B" w:rsidRDefault="004D18E6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 xml:space="preserve">En febrero, </w:t>
      </w:r>
      <w:r w:rsidR="007A4DFE">
        <w:rPr>
          <w:rFonts w:ascii="Arial" w:hAnsi="Arial" w:cs="Arial"/>
          <w:b/>
          <w:color w:val="27AAE1"/>
          <w:sz w:val="20"/>
          <w:lang w:val="es-ES_tradnl"/>
        </w:rPr>
        <w:t>InfoJobs recoge más de 68.500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</w:t>
      </w:r>
      <w:r>
        <w:rPr>
          <w:rFonts w:ascii="Arial" w:hAnsi="Arial" w:cs="Arial"/>
          <w:b/>
          <w:color w:val="27AAE1"/>
          <w:sz w:val="20"/>
          <w:lang w:val="es-ES_tradnl"/>
        </w:rPr>
        <w:t>que ofrecen</w:t>
      </w:r>
      <w:r w:rsidR="007A4DFE">
        <w:rPr>
          <w:rFonts w:ascii="Arial" w:hAnsi="Arial" w:cs="Arial"/>
          <w:b/>
          <w:color w:val="27AAE1"/>
          <w:sz w:val="20"/>
          <w:lang w:val="es-ES_tradnl"/>
        </w:rPr>
        <w:t xml:space="preserve"> contratación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7A4DFE">
        <w:rPr>
          <w:rFonts w:ascii="Arial" w:hAnsi="Arial" w:cs="Arial"/>
          <w:b/>
          <w:color w:val="27AAE1"/>
          <w:sz w:val="20"/>
          <w:lang w:val="es-ES_tradnl"/>
        </w:rPr>
        <w:t>a</w:t>
      </w:r>
    </w:p>
    <w:p w14:paraId="601E96BF" w14:textId="77777777" w:rsidR="00EC5518" w:rsidRPr="00780168" w:rsidRDefault="00EC5518" w:rsidP="001944FD">
      <w:pPr>
        <w:pStyle w:val="IJTextonormal"/>
      </w:pPr>
    </w:p>
    <w:p w14:paraId="2B502940" w14:textId="353E8F64" w:rsidR="00F80B2B" w:rsidRDefault="00227B2D" w:rsidP="001944FD">
      <w:pPr>
        <w:pStyle w:val="IJTextonormal"/>
      </w:pPr>
      <w:r>
        <w:t>Entre los puestos de trabajo ofertados</w:t>
      </w:r>
      <w:r w:rsidR="00337104">
        <w:t xml:space="preserve"> en InfoJobs</w:t>
      </w:r>
      <w:r>
        <w:t xml:space="preserve"> </w:t>
      </w:r>
      <w:r w:rsidR="00B705CD">
        <w:t xml:space="preserve">en el mes de </w:t>
      </w:r>
      <w:r w:rsidR="007A4DFE">
        <w:t>febrero</w:t>
      </w:r>
      <w:r>
        <w:t>,</w:t>
      </w:r>
      <w:r w:rsidR="00875C07">
        <w:t xml:space="preserve"> </w:t>
      </w:r>
      <w:r>
        <w:t xml:space="preserve">se publicaron un total de </w:t>
      </w:r>
      <w:r w:rsidR="00BB0177">
        <w:rPr>
          <w:b/>
        </w:rPr>
        <w:t>6</w:t>
      </w:r>
      <w:r w:rsidR="007A4DFE">
        <w:rPr>
          <w:b/>
        </w:rPr>
        <w:t>8.512</w:t>
      </w:r>
      <w:r w:rsidR="00877F36" w:rsidRPr="00216122">
        <w:rPr>
          <w:b/>
        </w:rPr>
        <w:t xml:space="preserve"> </w:t>
      </w:r>
      <w:r w:rsidR="0092530C">
        <w:rPr>
          <w:b/>
        </w:rPr>
        <w:t>puestos de trabajo</w:t>
      </w:r>
      <w:r w:rsidR="00875C07" w:rsidRPr="00216122">
        <w:rPr>
          <w:b/>
        </w:rPr>
        <w:t xml:space="preserve"> que ofrecían </w:t>
      </w:r>
      <w:r w:rsidR="00877F36" w:rsidRPr="00216122">
        <w:rPr>
          <w:b/>
        </w:rPr>
        <w:t>contratación indefinida</w:t>
      </w:r>
      <w:r>
        <w:t xml:space="preserve">. </w:t>
      </w:r>
      <w:r w:rsidR="00BB0177">
        <w:t>Ha sido la modalidad contractual más ofertada en la plataforma y ha representado</w:t>
      </w:r>
      <w:r w:rsidR="00706271">
        <w:t xml:space="preserve"> </w:t>
      </w:r>
      <w:r w:rsidR="00B705CD">
        <w:t>el 3</w:t>
      </w:r>
      <w:r w:rsidR="007A4DFE">
        <w:t>6</w:t>
      </w:r>
      <w:r w:rsidR="00877F36" w:rsidRPr="00154304">
        <w:t>% del tota</w:t>
      </w:r>
      <w:r w:rsidR="00154304" w:rsidRPr="00154304">
        <w:t>l</w:t>
      </w:r>
      <w:r w:rsidR="007A4DFE">
        <w:t xml:space="preserve"> de</w:t>
      </w:r>
      <w:r w:rsidR="00706271">
        <w:t xml:space="preserve"> </w:t>
      </w:r>
      <w:r w:rsidR="0092530C">
        <w:t>vacantes</w:t>
      </w:r>
      <w:r w:rsidR="00DD6D1B">
        <w:t xml:space="preserve"> </w:t>
      </w:r>
      <w:r w:rsidR="00216122">
        <w:t xml:space="preserve">publicadas </w:t>
      </w:r>
      <w:r w:rsidR="00B705CD">
        <w:t xml:space="preserve">en InfoJobs </w:t>
      </w:r>
      <w:r w:rsidR="00DD6D1B">
        <w:t>que informa</w:t>
      </w:r>
      <w:r w:rsidR="00216122">
        <w:t>ba</w:t>
      </w:r>
      <w:r w:rsidR="00DD6D1B">
        <w:t>n sobre el tipo de contrato</w:t>
      </w:r>
      <w:r w:rsidR="00D16CC7">
        <w:t xml:space="preserve">. </w:t>
      </w:r>
      <w:r w:rsidR="001E2F36">
        <w:t>Por su parte, l</w:t>
      </w:r>
      <w:r w:rsidR="00337104">
        <w:t xml:space="preserve">as </w:t>
      </w:r>
      <w:r w:rsidR="0092530C">
        <w:t>vacantes</w:t>
      </w:r>
      <w:r w:rsidR="00337104">
        <w:t xml:space="preserve"> con contrato de</w:t>
      </w:r>
      <w:r w:rsidR="001E2F36" w:rsidRPr="0010269B">
        <w:rPr>
          <w:b/>
        </w:rPr>
        <w:t xml:space="preserve"> duración determinada</w:t>
      </w:r>
      <w:r w:rsidR="001E2F36">
        <w:t xml:space="preserve"> representaron</w:t>
      </w:r>
      <w:r w:rsidR="005A6193">
        <w:t>,</w:t>
      </w:r>
      <w:r w:rsidR="001E2F36">
        <w:t xml:space="preserve"> e</w:t>
      </w:r>
      <w:r w:rsidR="005A6193">
        <w:t>l pasad</w:t>
      </w:r>
      <w:r w:rsidR="001E2F36">
        <w:t>o</w:t>
      </w:r>
      <w:r w:rsidR="005A6193">
        <w:t xml:space="preserve"> mes,</w:t>
      </w:r>
      <w:r w:rsidR="001E2F36">
        <w:t xml:space="preserve"> el </w:t>
      </w:r>
      <w:r w:rsidR="00B705CD">
        <w:rPr>
          <w:b/>
        </w:rPr>
        <w:t>2</w:t>
      </w:r>
      <w:r w:rsidR="007A4DFE">
        <w:rPr>
          <w:b/>
        </w:rPr>
        <w:t>7</w:t>
      </w:r>
      <w:r w:rsidR="00337104">
        <w:rPr>
          <w:b/>
        </w:rPr>
        <w:t>%</w:t>
      </w:r>
      <w:r w:rsidR="001E2F36"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 w:rsidR="001E2F36">
        <w:t xml:space="preserve"> </w:t>
      </w:r>
      <w:r w:rsidR="00B705CD">
        <w:t xml:space="preserve">en InfoJobs </w:t>
      </w:r>
      <w:r w:rsidR="001E2F36">
        <w:t>(</w:t>
      </w:r>
      <w:r w:rsidR="007A4DFE">
        <w:t>51.302</w:t>
      </w:r>
      <w:r w:rsidR="004D18E6">
        <w:t>).</w:t>
      </w:r>
    </w:p>
    <w:p w14:paraId="6ED5237F" w14:textId="77777777" w:rsidR="0010269B" w:rsidRDefault="0010269B" w:rsidP="001944FD">
      <w:pPr>
        <w:pStyle w:val="IJTextonormal"/>
      </w:pPr>
    </w:p>
    <w:p w14:paraId="3DDF8A76" w14:textId="00FC8FF1" w:rsidR="00E47CF0" w:rsidRDefault="00BB0177" w:rsidP="001944FD">
      <w:pPr>
        <w:pStyle w:val="IJTextonormal"/>
      </w:pPr>
      <w:r>
        <w:t>E</w:t>
      </w:r>
      <w:r w:rsidR="00EC5518" w:rsidRPr="009543C0">
        <w:t xml:space="preserve">n </w:t>
      </w:r>
      <w:r w:rsidR="00E47CF0">
        <w:t>lo que respecta</w:t>
      </w:r>
      <w:r w:rsidR="00EC5518" w:rsidRPr="009543C0">
        <w:t xml:space="preserve"> al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7A4DFE">
        <w:t>e</w:t>
      </w:r>
      <w:r w:rsidR="007A4DFE" w:rsidRPr="007A4DFE">
        <w:t xml:space="preserve">ntre los puestos de trabajo ofertados en febrero destaca el peso de la </w:t>
      </w:r>
      <w:r w:rsidR="007A4DFE" w:rsidRPr="007A4DFE">
        <w:rPr>
          <w:b/>
        </w:rPr>
        <w:t>jornada a tiempo completo</w:t>
      </w:r>
      <w:r w:rsidR="007A4DFE" w:rsidRPr="007A4DFE">
        <w:t xml:space="preserve"> que representa el </w:t>
      </w:r>
      <w:r w:rsidR="007A4DFE" w:rsidRPr="007A4DFE">
        <w:rPr>
          <w:b/>
        </w:rPr>
        <w:t>60,7%</w:t>
      </w:r>
      <w:r w:rsidR="007A4DFE" w:rsidRPr="007A4DFE">
        <w:t xml:space="preserve"> del total de vacantes. El 16,2% de las vacantes correspondía a empleos a tiempo parcial, mientras que el 3,1% de los puestos de trabajo planteaba realizar una jornada intensiva.      </w:t>
      </w:r>
    </w:p>
    <w:p w14:paraId="742AC9CB" w14:textId="77777777" w:rsidR="007A4DFE" w:rsidRPr="004D18E6" w:rsidRDefault="007A4DFE" w:rsidP="001944FD">
      <w:pPr>
        <w:pStyle w:val="IJTextonormal"/>
        <w:rPr>
          <w:sz w:val="28"/>
          <w:szCs w:val="28"/>
        </w:rPr>
      </w:pPr>
    </w:p>
    <w:p w14:paraId="2BEBF988" w14:textId="4021F6BA" w:rsidR="000A124A" w:rsidRPr="00B46850" w:rsidRDefault="006B02ED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 xml:space="preserve">Más de un millón de candidatos buscaron trabajo en InfoJobs en </w:t>
      </w:r>
      <w:r w:rsidR="005B3DA7">
        <w:rPr>
          <w:rFonts w:ascii="Arial" w:hAnsi="Arial" w:cs="Arial"/>
          <w:b/>
          <w:color w:val="27AAE1"/>
          <w:sz w:val="20"/>
          <w:lang w:val="es-ES_tradnl"/>
        </w:rPr>
        <w:t>febrero</w:t>
      </w:r>
    </w:p>
    <w:p w14:paraId="16D0A070" w14:textId="77777777" w:rsidR="000A124A" w:rsidRPr="00780168" w:rsidRDefault="000A124A" w:rsidP="001944FD">
      <w:pPr>
        <w:pStyle w:val="IJTextonormal"/>
      </w:pPr>
    </w:p>
    <w:p w14:paraId="34F80DEF" w14:textId="5FE72E98" w:rsidR="00FB7697" w:rsidRDefault="007A4DFE" w:rsidP="001944FD">
      <w:pPr>
        <w:pStyle w:val="IJTextonormal"/>
      </w:pPr>
      <w:r>
        <w:t>En febrero</w:t>
      </w:r>
      <w:r w:rsidR="00BE6900">
        <w:t xml:space="preserve">, </w:t>
      </w:r>
      <w:r w:rsidR="00ED5034">
        <w:rPr>
          <w:b/>
        </w:rPr>
        <w:t>1.</w:t>
      </w:r>
      <w:r w:rsidR="00BB0177">
        <w:rPr>
          <w:b/>
        </w:rPr>
        <w:t>0</w:t>
      </w:r>
      <w:r w:rsidR="00FB7697">
        <w:rPr>
          <w:b/>
        </w:rPr>
        <w:t>52</w:t>
      </w:r>
      <w:r w:rsidR="00BB0177">
        <w:rPr>
          <w:b/>
        </w:rPr>
        <w:t>.</w:t>
      </w:r>
      <w:r w:rsidR="00FB7697">
        <w:rPr>
          <w:b/>
        </w:rPr>
        <w:t>150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FB7697">
        <w:t>apuntaron</w:t>
      </w:r>
      <w:r w:rsidR="006B02ED">
        <w:t xml:space="preserve"> a alguna de</w:t>
      </w:r>
      <w:r w:rsidR="000A124A" w:rsidRPr="00780168">
        <w:t xml:space="preserve"> las </w:t>
      </w:r>
      <w:r w:rsidR="0092530C">
        <w:t>vacantes</w:t>
      </w:r>
      <w:r w:rsidR="000A124A" w:rsidRPr="00780168">
        <w:t xml:space="preserve"> de trabajo </w:t>
      </w:r>
      <w:r w:rsidR="006B02ED">
        <w:t>canalizadas a través de</w:t>
      </w:r>
      <w:r w:rsidR="000A124A" w:rsidRPr="00780168">
        <w:t xml:space="preserve"> InfoJobs</w:t>
      </w:r>
      <w:r w:rsidR="006B02ED">
        <w:t>.</w:t>
      </w:r>
      <w:r w:rsidR="00FB7697">
        <w:t xml:space="preserve"> </w:t>
      </w:r>
      <w:r w:rsidR="006B02ED">
        <w:t xml:space="preserve">De los </w:t>
      </w:r>
      <w:r w:rsidR="00FB7697">
        <w:t>cuales</w:t>
      </w:r>
      <w:r w:rsidR="006B02ED">
        <w:t xml:space="preserve">, </w:t>
      </w:r>
      <w:r w:rsidR="00DC1910" w:rsidRPr="00DC1910">
        <w:rPr>
          <w:b/>
        </w:rPr>
        <w:t>el 3</w:t>
      </w:r>
      <w:r w:rsidR="00BE6900">
        <w:rPr>
          <w:b/>
        </w:rPr>
        <w:t>7,</w:t>
      </w:r>
      <w:r w:rsidR="00FB7697">
        <w:rPr>
          <w:b/>
        </w:rPr>
        <w:t>9</w:t>
      </w:r>
      <w:r w:rsidR="00DC1910" w:rsidRPr="00DC1910">
        <w:rPr>
          <w:b/>
        </w:rPr>
        <w:t>% indicaba tener estudios universitarios</w:t>
      </w:r>
      <w:r w:rsidR="00DC1910">
        <w:t xml:space="preserve"> y el </w:t>
      </w:r>
      <w:r w:rsidR="00FB7697">
        <w:t>27</w:t>
      </w:r>
      <w:r w:rsidR="00BE6900">
        <w:t>,</w:t>
      </w:r>
      <w:r w:rsidR="00FB7697">
        <w:t>4</w:t>
      </w:r>
      <w:r w:rsidR="00DC1910">
        <w:t>%</w:t>
      </w:r>
      <w:r w:rsidR="006B02ED">
        <w:t xml:space="preserve"> declaraba contar con</w:t>
      </w:r>
      <w:r w:rsidR="00DC1910">
        <w:t xml:space="preserve"> un ciclo formativo.</w:t>
      </w:r>
    </w:p>
    <w:p w14:paraId="20122671" w14:textId="77777777" w:rsidR="00FB7697" w:rsidRDefault="00FB7697" w:rsidP="001944FD">
      <w:pPr>
        <w:pStyle w:val="IJTextonormal"/>
      </w:pPr>
    </w:p>
    <w:p w14:paraId="51F8CA0C" w14:textId="1A00A668" w:rsidR="00993D10" w:rsidRPr="00780168" w:rsidRDefault="00547ED2" w:rsidP="001944FD">
      <w:pPr>
        <w:pStyle w:val="IJTextonormal"/>
      </w:pPr>
      <w:r w:rsidRPr="00780168">
        <w:t xml:space="preserve">En </w:t>
      </w:r>
      <w:r w:rsidR="00FB7697">
        <w:t xml:space="preserve">relación al </w:t>
      </w:r>
      <w:r w:rsidRPr="00780168">
        <w:t xml:space="preserve">nivel 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 w:rsidR="00FB7697">
        <w:t>febrero</w:t>
      </w:r>
      <w:r w:rsidR="00DC1910">
        <w:t>,</w:t>
      </w:r>
      <w:r w:rsidR="00993D10" w:rsidRPr="00780168">
        <w:t xml:space="preserve"> el </w:t>
      </w:r>
      <w:r w:rsidR="00BE6900">
        <w:t>60,3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FB7697">
        <w:t>, un total de 614.657 personas</w:t>
      </w:r>
      <w:r w:rsidR="000834C2">
        <w:t xml:space="preserve">. Mientras </w:t>
      </w:r>
      <w:r w:rsidR="00DC1910">
        <w:t xml:space="preserve">que </w:t>
      </w:r>
      <w:r w:rsidR="000834C2">
        <w:t>e</w:t>
      </w:r>
      <w:r w:rsidR="00B175AE">
        <w:t>l 9,</w:t>
      </w:r>
      <w:r w:rsidR="00FB7697">
        <w:t>8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</w:t>
      </w:r>
      <w:r w:rsidR="00BE6900">
        <w:t>9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FB7697">
        <w:rPr>
          <w:i/>
        </w:rPr>
        <w:t xml:space="preserve"> </w:t>
      </w:r>
      <w:r w:rsidR="00FB7697">
        <w:t>en su empresa</w:t>
      </w:r>
      <w:r w:rsidR="00993D10" w:rsidRPr="00780168">
        <w:t xml:space="preserve">. </w:t>
      </w:r>
    </w:p>
    <w:p w14:paraId="506C0846" w14:textId="77777777" w:rsidR="000A124A" w:rsidRPr="00780168" w:rsidRDefault="000A124A" w:rsidP="001944FD">
      <w:pPr>
        <w:pStyle w:val="IJTextonormal"/>
      </w:pPr>
    </w:p>
    <w:p w14:paraId="5B863E12" w14:textId="605A0FEA" w:rsidR="000A124A" w:rsidRDefault="006B02ED" w:rsidP="001944FD">
      <w:pPr>
        <w:pStyle w:val="IJTextonormal"/>
      </w:pPr>
      <w:r>
        <w:t>En cuanto a</w:t>
      </w:r>
      <w:r w:rsidR="007C7DA7">
        <w:t xml:space="preserve"> las preferencias </w:t>
      </w:r>
      <w:r w:rsidR="00FB7697">
        <w:t xml:space="preserve">seleccionadas por </w:t>
      </w:r>
      <w:r w:rsidR="007C7DA7">
        <w:t xml:space="preserve">dichos candidatos </w:t>
      </w:r>
      <w:r>
        <w:t>en InfoJobs</w:t>
      </w:r>
      <w:r w:rsidR="007F7C59" w:rsidRPr="007F7C59">
        <w:t xml:space="preserve"> </w:t>
      </w:r>
      <w:r w:rsidR="00FB7697">
        <w:t>sobre</w:t>
      </w:r>
      <w:r w:rsidR="007F7C59" w:rsidRPr="007F7C59">
        <w:t xml:space="preserve"> la </w:t>
      </w:r>
      <w:r w:rsidR="007F7C59" w:rsidRPr="006B02ED">
        <w:rPr>
          <w:b/>
        </w:rPr>
        <w:t>modalidad contractual</w:t>
      </w:r>
      <w:r w:rsidR="00FB7697">
        <w:t>, e</w:t>
      </w:r>
      <w:r>
        <w:t>n el mes</w:t>
      </w:r>
      <w:r w:rsidR="00FB7697">
        <w:t xml:space="preserve"> de febrero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</w:t>
      </w:r>
      <w:r w:rsidR="00BE6900">
        <w:t>8</w:t>
      </w:r>
      <w:r w:rsidR="00FB1BC5">
        <w:t>,</w:t>
      </w:r>
      <w:r w:rsidR="00FB7697">
        <w:t>5</w:t>
      </w:r>
      <w:r w:rsidR="000834C2" w:rsidRPr="009F6B8B">
        <w:t>% de los candidatos inclu</w:t>
      </w:r>
      <w:r w:rsidR="006D353E">
        <w:t>ía</w:t>
      </w:r>
      <w:r w:rsidR="000834C2" w:rsidRPr="009F6B8B">
        <w:t xml:space="preserve"> entre sus </w:t>
      </w:r>
      <w:r w:rsidR="006D353E">
        <w:t>criterios de búsqueda</w:t>
      </w:r>
      <w:r w:rsidR="000834C2" w:rsidRPr="009F6B8B">
        <w:t xml:space="preserve">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 w:rsidRPr="009F6B8B">
        <w:t xml:space="preserve">% </w:t>
      </w:r>
      <w:r>
        <w:t xml:space="preserve">de los candidatos, </w:t>
      </w:r>
      <w:r w:rsidR="000834C2" w:rsidRPr="009F6B8B">
        <w:t>que 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2CD83276" w14:textId="77777777" w:rsidR="00DC1910" w:rsidRDefault="00DC1910" w:rsidP="001944FD">
      <w:pPr>
        <w:pStyle w:val="IJTextonormal"/>
      </w:pPr>
    </w:p>
    <w:p w14:paraId="79BE798B" w14:textId="5B97AD2E" w:rsidR="0015458D" w:rsidRDefault="006D353E" w:rsidP="001944FD">
      <w:pPr>
        <w:pStyle w:val="IJTextonormal"/>
      </w:pPr>
      <w:r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</w:t>
      </w:r>
      <w:r w:rsidR="00FB7697">
        <w:t>alg</w:t>
      </w:r>
      <w:r w:rsidR="0074542D" w:rsidRPr="0074542D">
        <w:t xml:space="preserve">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FB7697">
        <w:t>febrero</w:t>
      </w:r>
      <w:r>
        <w:t xml:space="preserve"> </w:t>
      </w:r>
      <w:r w:rsidR="00FB7697">
        <w:t>volvió</w:t>
      </w:r>
      <w:r w:rsidR="006B02ED">
        <w:t xml:space="preserve"> a ser</w:t>
      </w:r>
      <w:r w:rsidR="0074542D" w:rsidRPr="0074542D">
        <w:t xml:space="preserve"> la jornada completa</w:t>
      </w:r>
      <w:r w:rsidR="001944FD">
        <w:t>, elegida por el 36,7% de los inscritos en InfoJobs</w:t>
      </w:r>
      <w:r w:rsidR="006B02ED">
        <w:t xml:space="preserve">. </w:t>
      </w:r>
      <w:r w:rsidR="001944FD">
        <w:t>Por su parte, e</w:t>
      </w:r>
      <w:r w:rsidR="0074542D" w:rsidRPr="0074542D">
        <w:t>l 1</w:t>
      </w:r>
      <w:r w:rsidR="00771D44">
        <w:t>3</w:t>
      </w:r>
      <w:r w:rsidR="00246E90">
        <w:t>,</w:t>
      </w:r>
      <w:r w:rsidR="001944FD">
        <w:t>1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</w:t>
      </w:r>
      <w:r w:rsidR="001944FD">
        <w:t>3</w:t>
      </w:r>
      <w:r w:rsidR="0074542D" w:rsidRPr="0074542D">
        <w:t xml:space="preserve">%), mientras que el </w:t>
      </w:r>
      <w:r w:rsidR="00BE6900">
        <w:t>9</w:t>
      </w:r>
      <w:r w:rsidR="00246E90">
        <w:t>,</w:t>
      </w:r>
      <w:r w:rsidR="001944FD">
        <w:t>7</w:t>
      </w:r>
      <w:r w:rsidR="0074542D" w:rsidRPr="0074542D">
        <w:t>% restante preferiría trabajar a tiempo parcial, principalmente en horario de mañana (</w:t>
      </w:r>
      <w:r w:rsidR="00BE6900">
        <w:t>4,</w:t>
      </w:r>
      <w:r w:rsidR="001944FD">
        <w:t>7%</w:t>
      </w:r>
      <w:r w:rsidR="0074542D" w:rsidRPr="0074542D">
        <w:t>).</w:t>
      </w:r>
    </w:p>
    <w:p w14:paraId="64DB9886" w14:textId="57772C36" w:rsidR="004D18E6" w:rsidRDefault="004D18E6" w:rsidP="001944FD">
      <w:pPr>
        <w:pStyle w:val="IJTextonormal"/>
      </w:pPr>
    </w:p>
    <w:p w14:paraId="11E8042A" w14:textId="0CF46BFE" w:rsidR="004D18E6" w:rsidRDefault="004D18E6" w:rsidP="001944FD">
      <w:pPr>
        <w:pStyle w:val="IJTextonormal"/>
      </w:pPr>
    </w:p>
    <w:p w14:paraId="17DFB39C" w14:textId="77777777" w:rsidR="004D18E6" w:rsidRDefault="004D18E6" w:rsidP="001944FD">
      <w:pPr>
        <w:pStyle w:val="IJTextonormal"/>
      </w:pPr>
    </w:p>
    <w:p w14:paraId="77E08BDC" w14:textId="45228FE8" w:rsidR="00F3449C" w:rsidRDefault="00F3449C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7575431F" w14:textId="6E9CA74D" w:rsidR="00D2448C" w:rsidRPr="007C7DA7" w:rsidRDefault="00BE6900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Madrid</w:t>
      </w:r>
      <w:r w:rsidR="001944FD">
        <w:rPr>
          <w:rFonts w:ascii="Arial" w:hAnsi="Arial" w:cs="Arial"/>
          <w:b/>
          <w:color w:val="27AAE1"/>
          <w:sz w:val="20"/>
          <w:lang w:val="es-ES_tradnl"/>
        </w:rPr>
        <w:t xml:space="preserve"> y Cataluña</w:t>
      </w:r>
      <w:r>
        <w:rPr>
          <w:rFonts w:ascii="Arial" w:hAnsi="Arial" w:cs="Arial"/>
          <w:b/>
          <w:color w:val="27AAE1"/>
          <w:sz w:val="20"/>
          <w:lang w:val="es-ES_tradnl"/>
        </w:rPr>
        <w:t>, la</w:t>
      </w:r>
      <w:r w:rsidR="001944FD">
        <w:rPr>
          <w:rFonts w:ascii="Arial" w:hAnsi="Arial" w:cs="Arial"/>
          <w:b/>
          <w:color w:val="27AAE1"/>
          <w:sz w:val="20"/>
          <w:lang w:val="es-ES_tradnl"/>
        </w:rPr>
        <w:t>s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 Comunidad</w:t>
      </w:r>
      <w:r w:rsidR="001944FD">
        <w:rPr>
          <w:rFonts w:ascii="Arial" w:hAnsi="Arial" w:cs="Arial"/>
          <w:b/>
          <w:color w:val="27AAE1"/>
          <w:sz w:val="20"/>
          <w:lang w:val="es-ES_tradnl"/>
        </w:rPr>
        <w:t>es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 que más empleo genera</w:t>
      </w:r>
      <w:r w:rsidR="001944FD">
        <w:rPr>
          <w:rFonts w:ascii="Arial" w:hAnsi="Arial" w:cs="Arial"/>
          <w:b/>
          <w:color w:val="27AAE1"/>
          <w:sz w:val="20"/>
          <w:lang w:val="es-ES_tradnl"/>
        </w:rPr>
        <w:t>n en España</w:t>
      </w:r>
    </w:p>
    <w:p w14:paraId="2E9D0562" w14:textId="77777777" w:rsidR="00CB5E32" w:rsidRPr="00780168" w:rsidRDefault="00CB5E32" w:rsidP="001944FD">
      <w:pPr>
        <w:pStyle w:val="IJTextonormal"/>
      </w:pPr>
    </w:p>
    <w:p w14:paraId="35679482" w14:textId="06DDAA51" w:rsidR="00663190" w:rsidRDefault="00663190" w:rsidP="00663190">
      <w:pPr>
        <w:pStyle w:val="IJTextonormal"/>
      </w:pPr>
      <w:r w:rsidRPr="001944FD">
        <w:t xml:space="preserve">Una vez más, la Comunidad de Madrid (69.151 vacantes) y Cataluña (54.664 vacantes) han sido las principales generadoras de empleo en España, </w:t>
      </w:r>
      <w:r w:rsidR="00BE6900" w:rsidRPr="00597739">
        <w:rPr>
          <w:b/>
        </w:rPr>
        <w:t>concentra</w:t>
      </w:r>
      <w:r>
        <w:rPr>
          <w:b/>
        </w:rPr>
        <w:t>n</w:t>
      </w:r>
      <w:r w:rsidR="00BE6900" w:rsidRPr="00597739">
        <w:rPr>
          <w:b/>
        </w:rPr>
        <w:t>do</w:t>
      </w:r>
      <w:r w:rsidR="004D18E6">
        <w:rPr>
          <w:b/>
        </w:rPr>
        <w:t>,</w:t>
      </w:r>
      <w:r>
        <w:rPr>
          <w:b/>
        </w:rPr>
        <w:t xml:space="preserve"> entre las dos</w:t>
      </w:r>
      <w:r w:rsidR="004D18E6">
        <w:rPr>
          <w:b/>
        </w:rPr>
        <w:t>,</w:t>
      </w:r>
      <w:r w:rsidR="00BE6900" w:rsidRPr="00597739">
        <w:rPr>
          <w:b/>
        </w:rPr>
        <w:t xml:space="preserve"> más de la mitad de las vacantes </w:t>
      </w:r>
      <w:r w:rsidR="00BE6900">
        <w:t>publicadas en InfoJobs (5</w:t>
      </w:r>
      <w:r w:rsidR="00473CB8">
        <w:t>6</w:t>
      </w:r>
      <w:r w:rsidR="001725DD">
        <w:t>%</w:t>
      </w:r>
      <w:r w:rsidR="001944FD">
        <w:t xml:space="preserve"> del total</w:t>
      </w:r>
      <w:r w:rsidR="00BE6900">
        <w:t>)</w:t>
      </w:r>
      <w:r w:rsidR="00771D44">
        <w:t xml:space="preserve">. </w:t>
      </w:r>
      <w:r>
        <w:t xml:space="preserve">Les sigue </w:t>
      </w:r>
      <w:r w:rsidRPr="001944FD">
        <w:t xml:space="preserve">Andalucía, que acumulaba 18.538 vacantes en febrero. </w:t>
      </w:r>
    </w:p>
    <w:p w14:paraId="4798BE5F" w14:textId="77777777" w:rsidR="00663190" w:rsidRPr="001944FD" w:rsidRDefault="00663190" w:rsidP="00663190">
      <w:pPr>
        <w:pStyle w:val="IJTextonormal"/>
      </w:pPr>
      <w:bookmarkStart w:id="0" w:name="_GoBack"/>
      <w:bookmarkEnd w:id="0"/>
    </w:p>
    <w:p w14:paraId="58E443A9" w14:textId="1CD1BDB5" w:rsidR="008C51F3" w:rsidRPr="00FE09A3" w:rsidRDefault="00771D44" w:rsidP="001944FD">
      <w:pPr>
        <w:pStyle w:val="IJTextonormal"/>
      </w:pPr>
      <w:r>
        <w:t>Por su parte</w:t>
      </w:r>
      <w:r w:rsidR="0074542D">
        <w:t>, y analizada la variaci</w:t>
      </w:r>
      <w:r w:rsidR="00F2331D" w:rsidRPr="00780168">
        <w:t xml:space="preserve">ón </w:t>
      </w:r>
      <w:r w:rsidR="00597739">
        <w:t xml:space="preserve">respecto al mes de </w:t>
      </w:r>
      <w:r w:rsidR="001944FD">
        <w:t>enero</w:t>
      </w:r>
      <w:r w:rsidR="00F2331D" w:rsidRPr="00780168">
        <w:t xml:space="preserve">, </w:t>
      </w:r>
      <w:r w:rsidR="001944FD" w:rsidRPr="001944FD">
        <w:rPr>
          <w:b/>
        </w:rPr>
        <w:t>Cantabria</w:t>
      </w:r>
      <w:r w:rsidR="00597739" w:rsidRPr="00597739">
        <w:rPr>
          <w:b/>
        </w:rPr>
        <w:t xml:space="preserve"> </w:t>
      </w:r>
      <w:r>
        <w:rPr>
          <w:b/>
        </w:rPr>
        <w:t>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1944FD">
        <w:rPr>
          <w:b/>
        </w:rPr>
        <w:t xml:space="preserve"> de sus vacantes ofertadas</w:t>
      </w:r>
      <w:r w:rsidR="0074542D" w:rsidRPr="001944FD">
        <w:rPr>
          <w:b/>
        </w:rPr>
        <w:t xml:space="preserve">, </w:t>
      </w:r>
      <w:r w:rsidRPr="001944FD">
        <w:rPr>
          <w:b/>
        </w:rPr>
        <w:t xml:space="preserve">del </w:t>
      </w:r>
      <w:r w:rsidR="001944FD" w:rsidRPr="001944FD">
        <w:rPr>
          <w:b/>
        </w:rPr>
        <w:t>7</w:t>
      </w:r>
      <w:r w:rsidRPr="001944FD">
        <w:rPr>
          <w:b/>
        </w:rPr>
        <w:t>%</w:t>
      </w:r>
      <w:r w:rsidR="001944FD" w:rsidRPr="001944FD">
        <w:rPr>
          <w:b/>
        </w:rPr>
        <w:t>.</w:t>
      </w:r>
    </w:p>
    <w:p w14:paraId="48049A0A" w14:textId="77777777" w:rsidR="00780168" w:rsidRDefault="00780168" w:rsidP="001944FD">
      <w:pPr>
        <w:pStyle w:val="IJTextonormal"/>
      </w:pPr>
    </w:p>
    <w:p w14:paraId="73963DD5" w14:textId="636898D5" w:rsidR="008C51F3" w:rsidRDefault="00781811" w:rsidP="001944FD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 xml:space="preserve">InfoJobs durante el mes de </w:t>
      </w:r>
      <w:r w:rsidR="001944FD">
        <w:t>febrero</w:t>
      </w:r>
      <w:r w:rsidR="00771D44">
        <w:t xml:space="preserve">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1944FD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FD5BF2" w:rsidRPr="00FD5BF2" w14:paraId="13BD75E5" w14:textId="77777777" w:rsidTr="003B295A">
        <w:trPr>
          <w:trHeight w:val="43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61EA005" w14:textId="77777777" w:rsidR="00FD5BF2" w:rsidRPr="00FD5BF2" w:rsidRDefault="00FD5BF2" w:rsidP="00FD5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D5BF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FEDA5A6" w14:textId="77777777" w:rsidR="00FD5BF2" w:rsidRPr="00FD5BF2" w:rsidRDefault="00FD5BF2" w:rsidP="00FD5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D5BF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ENE '19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F8B63B" w14:textId="77777777" w:rsidR="00FD5BF2" w:rsidRPr="00FD5BF2" w:rsidRDefault="00FD5BF2" w:rsidP="00FD5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D5BF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FEB '19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273E8F9" w14:textId="0CAFB37A" w:rsidR="00FD5BF2" w:rsidRPr="00FD5BF2" w:rsidRDefault="009950EB" w:rsidP="00FD5BF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EVOLUCIÓN</w:t>
            </w:r>
          </w:p>
        </w:tc>
      </w:tr>
      <w:tr w:rsidR="00FD5BF2" w:rsidRPr="00FD5BF2" w14:paraId="528320DF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991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414D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19.913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E0D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18.538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947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-7%</w:t>
            </w:r>
          </w:p>
        </w:tc>
      </w:tr>
      <w:tr w:rsidR="00FD5BF2" w:rsidRPr="00FD5BF2" w14:paraId="5396004D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91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6DF3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5.750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DC8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5.094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9A9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-11%</w:t>
            </w:r>
          </w:p>
        </w:tc>
      </w:tr>
      <w:tr w:rsidR="00FD5BF2" w:rsidRPr="00FD5BF2" w14:paraId="3074EB39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B91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2B3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9A88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FF18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FD5BF2" w:rsidRPr="00FD5BF2" w14:paraId="62164467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C9B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58ED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5.609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5CD4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5.631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1DF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D5BF2" w:rsidRPr="00FD5BF2" w14:paraId="7280F4D4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BB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415D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8.637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6FFE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7.742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29A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</w:tr>
      <w:tr w:rsidR="00FD5BF2" w:rsidRPr="00FD5BF2" w14:paraId="4FB5B832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661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A08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60.361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024D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54.664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4B11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-9%</w:t>
            </w:r>
          </w:p>
        </w:tc>
      </w:tr>
      <w:tr w:rsidR="00FD5BF2" w:rsidRPr="00FD5BF2" w14:paraId="20AF91C2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B0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F50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C89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016D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FD5BF2" w:rsidRPr="00FD5BF2" w14:paraId="10C175CA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D5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9ECB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74.723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8BF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69.151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61BE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-7%</w:t>
            </w:r>
          </w:p>
        </w:tc>
      </w:tr>
      <w:tr w:rsidR="00FD5BF2" w:rsidRPr="00FD5BF2" w14:paraId="00677D2A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8FF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B87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2.536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AC5A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2.313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E8B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-9%</w:t>
            </w:r>
          </w:p>
        </w:tc>
      </w:tr>
      <w:tr w:rsidR="00FD5BF2" w:rsidRPr="00FD5BF2" w14:paraId="48D08080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6F14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1C4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20.262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632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15.702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BD5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-23%</w:t>
            </w:r>
          </w:p>
        </w:tc>
      </w:tr>
      <w:tr w:rsidR="00FD5BF2" w:rsidRPr="00FD5BF2" w14:paraId="40F6918F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918F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D35F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B4B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7D3E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FD5BF2" w:rsidRPr="00FD5BF2" w14:paraId="1A01C2DE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33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5DC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9.764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31C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8.869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3F49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-9%</w:t>
            </w:r>
          </w:p>
        </w:tc>
      </w:tr>
      <w:tr w:rsidR="00FD5BF2" w:rsidRPr="00FD5BF2" w14:paraId="07660554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EFA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4CBB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6.164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6898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5.749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4DB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-7%</w:t>
            </w:r>
          </w:p>
        </w:tc>
      </w:tr>
      <w:tr w:rsidR="00FD5BF2" w:rsidRPr="00FD5BF2" w14:paraId="4AB359B4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2A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86C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4.749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752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4.655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273F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FD5BF2" w:rsidRPr="00FD5BF2" w14:paraId="48FACB44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29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9ACE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AC65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1.207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9D8C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-1%</w:t>
            </w:r>
          </w:p>
        </w:tc>
      </w:tr>
      <w:tr w:rsidR="00FD5BF2" w:rsidRPr="00FD5BF2" w14:paraId="38D05CBC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CD83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045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13.108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563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12.873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5E1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FD5BF2" w:rsidRPr="00FD5BF2" w14:paraId="57E99ABE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8BB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6F0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3.010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67BB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2.575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602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-14%</w:t>
            </w:r>
          </w:p>
        </w:tc>
      </w:tr>
      <w:tr w:rsidR="00FD5BF2" w:rsidRPr="00FD5BF2" w14:paraId="0485047A" w14:textId="77777777" w:rsidTr="0068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340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8B21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4.155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3267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3.737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62D9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F2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</w:tr>
      <w:tr w:rsidR="00FD5BF2" w:rsidRPr="00FD5BF2" w14:paraId="607D7B94" w14:textId="77777777" w:rsidTr="003B295A">
        <w:trPr>
          <w:trHeight w:val="36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E096BD2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B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7A5DA3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B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243.218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36703EA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B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221.946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0E0FB6" w14:textId="77777777" w:rsidR="00FD5BF2" w:rsidRPr="00FD5BF2" w:rsidRDefault="00FD5BF2" w:rsidP="00FD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B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-9%</w:t>
            </w:r>
          </w:p>
        </w:tc>
      </w:tr>
    </w:tbl>
    <w:p w14:paraId="0BE2FF22" w14:textId="3354FA4F" w:rsidR="002D064F" w:rsidRDefault="002D064F" w:rsidP="001944FD">
      <w:pPr>
        <w:pStyle w:val="IJTextonormal"/>
      </w:pPr>
    </w:p>
    <w:p w14:paraId="5E136624" w14:textId="77777777" w:rsidR="00B73B7A" w:rsidRDefault="00B73B7A" w:rsidP="001944FD">
      <w:pPr>
        <w:pStyle w:val="IJTextonormal"/>
      </w:pPr>
    </w:p>
    <w:p w14:paraId="7B111CAD" w14:textId="4523DD06" w:rsidR="009E5B68" w:rsidRPr="004D18E6" w:rsidRDefault="009E5B68" w:rsidP="001944FD">
      <w:pPr>
        <w:pStyle w:val="IJTextonormal"/>
        <w:rPr>
          <w:b/>
          <w:lang w:val="es-ES"/>
        </w:rPr>
      </w:pPr>
      <w:r w:rsidRPr="004D18E6">
        <w:rPr>
          <w:b/>
        </w:rPr>
        <w:t>Información adicional</w:t>
      </w:r>
      <w:r w:rsidR="00AF67A7" w:rsidRPr="004D18E6">
        <w:rPr>
          <w:b/>
        </w:rPr>
        <w:t>:</w:t>
      </w:r>
    </w:p>
    <w:p w14:paraId="5A861AC6" w14:textId="77777777" w:rsidR="009E5B68" w:rsidRDefault="009E5B68" w:rsidP="001944FD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67C320E8" w14:textId="77777777" w:rsidR="00F3449C" w:rsidRDefault="00F3449C" w:rsidP="001944FD">
      <w:pPr>
        <w:pStyle w:val="IJTextonormal"/>
      </w:pPr>
    </w:p>
    <w:p w14:paraId="487CE94C" w14:textId="7C62722D" w:rsidR="0003689A" w:rsidRDefault="0003689A" w:rsidP="001944FD">
      <w:pPr>
        <w:pStyle w:val="IJTextonormal"/>
      </w:pPr>
      <w:r w:rsidRPr="00771D44">
        <w:lastRenderedPageBreak/>
        <w:t>Sobre InfoJobs</w:t>
      </w:r>
      <w:r w:rsidRPr="00FB1FF6">
        <w:t>:</w:t>
      </w:r>
    </w:p>
    <w:p w14:paraId="7A73B493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En 2018 se publicaron más de 3.000.000 de empleos. 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43E35666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</w:p>
    <w:p w14:paraId="7EC6E6D5" w14:textId="03766F95" w:rsidR="0003689A" w:rsidRDefault="0092530C" w:rsidP="0092530C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InfoJobs pertenece a Schibsted Spain, la compañía de anuncios clasificados más grande y diversificada del país. Además de gestionar el portal de empleo InfoJobs, cuenta con los siguientes portales de referencia: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fotocasa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habitaclia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coches.net, motos.net,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milanuncios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vibbo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Schibsted Spain forma parte del grupo internacional de origen noruego Schibsted Media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que está presente en 22 países y cuenta con 8.000 empleados. Más información en Schibsted Spain.</w:t>
      </w:r>
    </w:p>
    <w:p w14:paraId="2F928293" w14:textId="12BE2A9E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75A6D9" w14:textId="77777777" w:rsidR="00364BFF" w:rsidRDefault="00364BF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3CA38ACF" w:rsidR="0003689A" w:rsidRPr="009950EB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950EB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9950EB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9950EB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9950EB">
        <w:rPr>
          <w:rFonts w:ascii="Arial" w:hAnsi="Arial" w:cs="Arial"/>
          <w:color w:val="7F7F7F" w:themeColor="text1" w:themeTint="80"/>
          <w:sz w:val="20"/>
          <w:szCs w:val="20"/>
        </w:rPr>
        <w:tab/>
      </w:r>
      <w:proofErr w:type="gramStart"/>
      <w:r w:rsidRPr="009950EB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5696F" w:rsidRPr="009950E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Pr="009950EB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proofErr w:type="gramEnd"/>
      <w:r w:rsidRPr="009950EB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4D18E6" w:rsidRPr="009950EB">
        <w:rPr>
          <w:rFonts w:ascii="Arial" w:hAnsi="Arial" w:cs="Arial"/>
          <w:color w:val="7F7F7F" w:themeColor="text1" w:themeTint="80"/>
          <w:sz w:val="20"/>
          <w:szCs w:val="20"/>
        </w:rPr>
        <w:t>Xènia Gallego</w:t>
      </w:r>
      <w:r w:rsidRPr="009950EB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3345627E" w:rsidR="0003689A" w:rsidRPr="00FD5BF2" w:rsidRDefault="004A4800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10" w:history="1">
        <w:r w:rsidR="004B22CF" w:rsidRPr="00FD5BF2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FD5BF2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FD5BF2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FD5BF2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FD5BF2">
        <w:rPr>
          <w:rFonts w:ascii="Arial" w:hAnsi="Arial" w:cs="Arial"/>
          <w:color w:val="4F81BD" w:themeColor="accent1"/>
          <w:sz w:val="20"/>
          <w:szCs w:val="20"/>
        </w:rPr>
        <w:tab/>
      </w:r>
      <w:r w:rsidR="00A5696F" w:rsidRPr="00FD5BF2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hyperlink r:id="rId11" w:history="1">
        <w:r w:rsidR="00A5696F" w:rsidRPr="00FD5BF2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FD5BF2">
        <w:rPr>
          <w:color w:val="4F81BD" w:themeColor="accent1"/>
          <w:u w:val="single"/>
        </w:rPr>
        <w:t xml:space="preserve">  </w:t>
      </w:r>
    </w:p>
    <w:p w14:paraId="79A5C8D2" w14:textId="07E03E8A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T. </w:t>
      </w:r>
      <w:r w:rsidR="00A5696F" w:rsidRP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="00A5696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  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4D18E6">
      <w:headerReference w:type="default" r:id="rId12"/>
      <w:footerReference w:type="default" r:id="rId13"/>
      <w:pgSz w:w="11906" w:h="16838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2D48" w14:textId="77777777" w:rsidR="004A4800" w:rsidRDefault="004A4800" w:rsidP="00261775">
      <w:r>
        <w:separator/>
      </w:r>
    </w:p>
  </w:endnote>
  <w:endnote w:type="continuationSeparator" w:id="0">
    <w:p w14:paraId="1EA633CF" w14:textId="77777777" w:rsidR="004A4800" w:rsidRDefault="004A4800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156" w:rsidRPr="00D30156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E220" w14:textId="77777777" w:rsidR="004A4800" w:rsidRDefault="004A4800" w:rsidP="00261775">
      <w:r>
        <w:separator/>
      </w:r>
    </w:p>
  </w:footnote>
  <w:footnote w:type="continuationSeparator" w:id="0">
    <w:p w14:paraId="3A9705F9" w14:textId="77777777" w:rsidR="004A4800" w:rsidRDefault="004A4800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1822A183" w:rsidR="00B84D13" w:rsidRDefault="004D18E6"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646FF702" wp14:editId="49219593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1543050" cy="668020"/>
          <wp:effectExtent l="0" t="0" r="0" b="0"/>
          <wp:wrapSquare wrapText="bothSides"/>
          <wp:docPr id="2" name="Imagen 2" descr="X:\CONSUMO\1. CLIENTES\5. INFOJOBS\2019\10.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5. INFOJOBS\2019\10.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66223394">
              <wp:simplePos x="0" y="0"/>
              <wp:positionH relativeFrom="column">
                <wp:posOffset>1453515</wp:posOffset>
              </wp:positionH>
              <wp:positionV relativeFrom="paragraph">
                <wp:posOffset>-108956</wp:posOffset>
              </wp:positionV>
              <wp:extent cx="1771650" cy="4508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8.6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GT/rft4AAAAK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5DE213B4">
              <wp:simplePos x="0" y="0"/>
              <wp:positionH relativeFrom="column">
                <wp:posOffset>-1106014</wp:posOffset>
              </wp:positionH>
              <wp:positionV relativeFrom="paragraph">
                <wp:posOffset>-360045</wp:posOffset>
              </wp:positionV>
              <wp:extent cx="7639050" cy="983411"/>
              <wp:effectExtent l="0" t="0" r="0" b="762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9834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AA174" id="5 Rectángulo" o:spid="_x0000_s1026" style="position:absolute;margin-left:-87.1pt;margin-top:-28.35pt;width:601.5pt;height:7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71AA"/>
    <w:multiLevelType w:val="hybridMultilevel"/>
    <w:tmpl w:val="DC1A51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3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5947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0CE"/>
    <w:rsid w:val="000B2AD6"/>
    <w:rsid w:val="000B33C7"/>
    <w:rsid w:val="000B3565"/>
    <w:rsid w:val="000B4CF3"/>
    <w:rsid w:val="000B5024"/>
    <w:rsid w:val="000B7CD0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66150"/>
    <w:rsid w:val="00171156"/>
    <w:rsid w:val="00172107"/>
    <w:rsid w:val="001725DD"/>
    <w:rsid w:val="00173F48"/>
    <w:rsid w:val="00174EA6"/>
    <w:rsid w:val="001764FE"/>
    <w:rsid w:val="0017699F"/>
    <w:rsid w:val="00177A92"/>
    <w:rsid w:val="001814FC"/>
    <w:rsid w:val="001944FD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B6C6A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D7123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214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3E68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435"/>
    <w:rsid w:val="00336E24"/>
    <w:rsid w:val="00337104"/>
    <w:rsid w:val="00340EEA"/>
    <w:rsid w:val="003413F8"/>
    <w:rsid w:val="00343119"/>
    <w:rsid w:val="003433C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4BFF"/>
    <w:rsid w:val="0036785D"/>
    <w:rsid w:val="00367F05"/>
    <w:rsid w:val="003725FA"/>
    <w:rsid w:val="00373A3C"/>
    <w:rsid w:val="00373A4D"/>
    <w:rsid w:val="00373A67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295A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6279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1F5"/>
    <w:rsid w:val="004637C8"/>
    <w:rsid w:val="004646F5"/>
    <w:rsid w:val="004700BB"/>
    <w:rsid w:val="004712EA"/>
    <w:rsid w:val="00471847"/>
    <w:rsid w:val="00471C69"/>
    <w:rsid w:val="0047230A"/>
    <w:rsid w:val="00472DC7"/>
    <w:rsid w:val="00473CB8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CB0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4800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06CA"/>
    <w:rsid w:val="004C06F2"/>
    <w:rsid w:val="004C210C"/>
    <w:rsid w:val="004C30CE"/>
    <w:rsid w:val="004C3514"/>
    <w:rsid w:val="004C3AA7"/>
    <w:rsid w:val="004C5ACE"/>
    <w:rsid w:val="004D18E6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31C3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97739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3DA7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1FAE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003D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6ED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190"/>
    <w:rsid w:val="00663D0D"/>
    <w:rsid w:val="006647B7"/>
    <w:rsid w:val="00664FE6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58E1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0F3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3BEA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B79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4DFE"/>
    <w:rsid w:val="007A5C0B"/>
    <w:rsid w:val="007A7F58"/>
    <w:rsid w:val="007B2070"/>
    <w:rsid w:val="007B3808"/>
    <w:rsid w:val="007B3D95"/>
    <w:rsid w:val="007B496A"/>
    <w:rsid w:val="007B56AE"/>
    <w:rsid w:val="007B7BC8"/>
    <w:rsid w:val="007C2866"/>
    <w:rsid w:val="007C2A3D"/>
    <w:rsid w:val="007C5B6D"/>
    <w:rsid w:val="007C64FA"/>
    <w:rsid w:val="007C658C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3A8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41E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30C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4C3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59B0"/>
    <w:rsid w:val="00976F89"/>
    <w:rsid w:val="00977208"/>
    <w:rsid w:val="00981535"/>
    <w:rsid w:val="00982520"/>
    <w:rsid w:val="00982FF9"/>
    <w:rsid w:val="009835FB"/>
    <w:rsid w:val="009837F7"/>
    <w:rsid w:val="009851D1"/>
    <w:rsid w:val="00985A8B"/>
    <w:rsid w:val="00987BB2"/>
    <w:rsid w:val="00991E2A"/>
    <w:rsid w:val="00993D10"/>
    <w:rsid w:val="009950EB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003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5696F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B32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5897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A7D94"/>
    <w:rsid w:val="00BB0177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90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14D0F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8A2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0A7"/>
    <w:rsid w:val="00D215F7"/>
    <w:rsid w:val="00D216EB"/>
    <w:rsid w:val="00D219AF"/>
    <w:rsid w:val="00D223BC"/>
    <w:rsid w:val="00D2241E"/>
    <w:rsid w:val="00D2448C"/>
    <w:rsid w:val="00D30156"/>
    <w:rsid w:val="00D3071D"/>
    <w:rsid w:val="00D32334"/>
    <w:rsid w:val="00D334A0"/>
    <w:rsid w:val="00D3594D"/>
    <w:rsid w:val="00D3638B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9B2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3CDB"/>
    <w:rsid w:val="00E5456C"/>
    <w:rsid w:val="00E55555"/>
    <w:rsid w:val="00E55865"/>
    <w:rsid w:val="00E55E8A"/>
    <w:rsid w:val="00E56780"/>
    <w:rsid w:val="00E608FB"/>
    <w:rsid w:val="00E60B03"/>
    <w:rsid w:val="00E61077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271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5F46"/>
    <w:rsid w:val="00EA68B6"/>
    <w:rsid w:val="00EA72B5"/>
    <w:rsid w:val="00EB1524"/>
    <w:rsid w:val="00EB26D8"/>
    <w:rsid w:val="00EB3A96"/>
    <w:rsid w:val="00EB4DAC"/>
    <w:rsid w:val="00EB584F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0C0F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449C"/>
    <w:rsid w:val="00F3598C"/>
    <w:rsid w:val="00F35CB9"/>
    <w:rsid w:val="00F373CA"/>
    <w:rsid w:val="00F41964"/>
    <w:rsid w:val="00F41E30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498A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399"/>
    <w:rsid w:val="00FB3971"/>
    <w:rsid w:val="00FB4BA2"/>
    <w:rsid w:val="00FB4DA7"/>
    <w:rsid w:val="00FB769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5BF2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1944FD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1944FD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A5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199F-D9A0-41BB-932D-BC5EDD47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93</TotalTime>
  <Pages>4</Pages>
  <Words>1123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21</cp:revision>
  <cp:lastPrinted>2018-01-09T17:11:00Z</cp:lastPrinted>
  <dcterms:created xsi:type="dcterms:W3CDTF">2019-02-06T08:53:00Z</dcterms:created>
  <dcterms:modified xsi:type="dcterms:W3CDTF">2019-03-06T08:34:00Z</dcterms:modified>
</cp:coreProperties>
</file>