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5" w:rsidRDefault="00F34565"/>
    <w:p w:rsidR="00F34565" w:rsidRPr="00D04417" w:rsidRDefault="00F425A8" w:rsidP="00F34565">
      <w:pPr>
        <w:tabs>
          <w:tab w:val="left" w:pos="2400"/>
        </w:tabs>
        <w:jc w:val="center"/>
        <w:rPr>
          <w:rFonts w:asciiTheme="majorHAnsi" w:hAnsiTheme="majorHAnsi" w:cs="Arial"/>
          <w:b/>
          <w:color w:val="7F7F7F"/>
          <w:szCs w:val="24"/>
          <w:u w:val="single"/>
        </w:rPr>
      </w:pP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Resultados del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>“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Informe de las Alegrías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2017” 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>de InfoJobs</w:t>
      </w:r>
      <w:r w:rsidR="00046340">
        <w:rPr>
          <w:rFonts w:asciiTheme="majorHAnsi" w:hAnsiTheme="majorHAnsi" w:cs="Arial"/>
          <w:b/>
          <w:color w:val="7F7F7F"/>
          <w:szCs w:val="24"/>
          <w:u w:val="single"/>
        </w:rPr>
        <w:t xml:space="preserve"> </w:t>
      </w:r>
    </w:p>
    <w:p w:rsidR="00F34565" w:rsidRPr="00A6198A" w:rsidRDefault="00F34565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Cs w:val="28"/>
        </w:rPr>
      </w:pPr>
    </w:p>
    <w:p w:rsidR="00D04417" w:rsidRDefault="004F67F2" w:rsidP="00005E29">
      <w:pPr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>Uno</w:t>
      </w:r>
      <w:r w:rsidR="00AB1074">
        <w:rPr>
          <w:rFonts w:eastAsiaTheme="minorHAnsi" w:cstheme="minorBidi"/>
          <w:b/>
          <w:sz w:val="36"/>
          <w:szCs w:val="36"/>
          <w:lang w:eastAsia="en-US"/>
        </w:rPr>
        <w:t xml:space="preserve"> de cada dos profesionales de TI inscritos en ofertas de InfoJobs encuentra trabajo </w:t>
      </w:r>
    </w:p>
    <w:p w:rsidR="00D04417" w:rsidRPr="005B7F38" w:rsidRDefault="00D04417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 w:val="24"/>
          <w:szCs w:val="30"/>
        </w:rPr>
      </w:pPr>
    </w:p>
    <w:p w:rsidR="00711FDC" w:rsidRDefault="003D31C6" w:rsidP="008F390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 xml:space="preserve">El sector de la </w:t>
      </w:r>
      <w:r w:rsidRPr="003D31C6">
        <w:rPr>
          <w:rFonts w:asciiTheme="majorHAnsi" w:hAnsiTheme="majorHAnsi" w:cs="Arial"/>
          <w:b/>
          <w:i/>
          <w:color w:val="2088C2"/>
          <w:szCs w:val="30"/>
        </w:rPr>
        <w:t>Informática y las Telecomunicaciones</w:t>
      </w:r>
      <w:r>
        <w:rPr>
          <w:rFonts w:asciiTheme="majorHAnsi" w:hAnsiTheme="majorHAnsi" w:cs="Arial"/>
          <w:b/>
          <w:color w:val="2088C2"/>
          <w:szCs w:val="30"/>
        </w:rPr>
        <w:t xml:space="preserve"> </w:t>
      </w:r>
      <w:r w:rsidR="000E31F6">
        <w:rPr>
          <w:rFonts w:asciiTheme="majorHAnsi" w:hAnsiTheme="majorHAnsi" w:cs="Arial"/>
          <w:b/>
          <w:color w:val="2088C2"/>
          <w:szCs w:val="30"/>
        </w:rPr>
        <w:t>lidera la contratación indefinida a través de InfoJobs. En 2017, el 18% de</w:t>
      </w:r>
      <w:r>
        <w:rPr>
          <w:rFonts w:asciiTheme="majorHAnsi" w:hAnsiTheme="majorHAnsi" w:cs="Arial"/>
          <w:b/>
          <w:color w:val="2088C2"/>
          <w:szCs w:val="30"/>
        </w:rPr>
        <w:t xml:space="preserve"> contratos indefinidos en InfoJobs</w:t>
      </w:r>
      <w:r w:rsidR="000E31F6">
        <w:rPr>
          <w:rFonts w:asciiTheme="majorHAnsi" w:hAnsiTheme="majorHAnsi" w:cs="Arial"/>
          <w:b/>
          <w:color w:val="2088C2"/>
          <w:szCs w:val="30"/>
        </w:rPr>
        <w:t xml:space="preserve"> fueron para puestos de TI</w:t>
      </w:r>
      <w:r>
        <w:rPr>
          <w:rFonts w:asciiTheme="majorHAnsi" w:hAnsiTheme="majorHAnsi" w:cs="Arial"/>
          <w:b/>
          <w:color w:val="2088C2"/>
          <w:szCs w:val="30"/>
        </w:rPr>
        <w:t xml:space="preserve"> </w:t>
      </w:r>
    </w:p>
    <w:p w:rsidR="00711FDC" w:rsidRDefault="00711FDC" w:rsidP="00711FDC">
      <w:pPr>
        <w:pStyle w:val="Prrafodelista"/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</w:p>
    <w:p w:rsidR="00390DE3" w:rsidRDefault="003D31C6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>E</w:t>
      </w:r>
      <w:r w:rsidR="005B7F38">
        <w:rPr>
          <w:rFonts w:asciiTheme="majorHAnsi" w:hAnsiTheme="majorHAnsi" w:cs="Arial"/>
          <w:b/>
          <w:color w:val="2088C2"/>
          <w:szCs w:val="30"/>
        </w:rPr>
        <w:t>n España, InfoJobs alcanzó en 2017 un nuevo récord, con</w:t>
      </w:r>
      <w:r w:rsidR="00390DE3">
        <w:rPr>
          <w:rFonts w:asciiTheme="majorHAnsi" w:hAnsiTheme="majorHAnsi" w:cs="Arial"/>
          <w:b/>
          <w:color w:val="2088C2"/>
          <w:szCs w:val="30"/>
        </w:rPr>
        <w:t xml:space="preserve"> </w:t>
      </w:r>
      <w:r w:rsidR="00390DE3" w:rsidRPr="00390DE3">
        <w:rPr>
          <w:rFonts w:asciiTheme="majorHAnsi" w:hAnsiTheme="majorHAnsi" w:cs="Arial"/>
          <w:b/>
          <w:color w:val="2088C2"/>
          <w:szCs w:val="30"/>
        </w:rPr>
        <w:t>1.493.472</w:t>
      </w:r>
      <w:r w:rsidR="00390DE3">
        <w:rPr>
          <w:rFonts w:asciiTheme="majorHAnsi" w:hAnsiTheme="majorHAnsi" w:cs="Arial"/>
          <w:b/>
          <w:color w:val="2088C2"/>
          <w:szCs w:val="30"/>
        </w:rPr>
        <w:t xml:space="preserve"> contratos </w:t>
      </w:r>
      <w:r w:rsidR="005B7F38">
        <w:rPr>
          <w:rFonts w:asciiTheme="majorHAnsi" w:hAnsiTheme="majorHAnsi" w:cs="Arial"/>
          <w:b/>
          <w:color w:val="2088C2"/>
          <w:szCs w:val="30"/>
        </w:rPr>
        <w:t>cerrado</w:t>
      </w:r>
      <w:r>
        <w:rPr>
          <w:rFonts w:asciiTheme="majorHAnsi" w:hAnsiTheme="majorHAnsi" w:cs="Arial"/>
          <w:b/>
          <w:color w:val="2088C2"/>
          <w:szCs w:val="30"/>
        </w:rPr>
        <w:t>s en total</w:t>
      </w:r>
      <w:r w:rsidR="000E4E00">
        <w:rPr>
          <w:rFonts w:asciiTheme="majorHAnsi" w:hAnsiTheme="majorHAnsi" w:cs="Arial"/>
          <w:b/>
          <w:color w:val="2088C2"/>
          <w:szCs w:val="30"/>
        </w:rPr>
        <w:t xml:space="preserve">; </w:t>
      </w:r>
      <w:r w:rsidR="005D49B0">
        <w:rPr>
          <w:rFonts w:asciiTheme="majorHAnsi" w:hAnsiTheme="majorHAnsi" w:cs="Arial"/>
          <w:b/>
          <w:color w:val="2088C2"/>
          <w:szCs w:val="30"/>
        </w:rPr>
        <w:t xml:space="preserve">correspondiendo, el 8%, al sector </w:t>
      </w:r>
      <w:r w:rsidR="000E4E00">
        <w:rPr>
          <w:rFonts w:asciiTheme="majorHAnsi" w:hAnsiTheme="majorHAnsi" w:cs="Arial"/>
          <w:b/>
          <w:color w:val="2088C2"/>
          <w:szCs w:val="30"/>
        </w:rPr>
        <w:t xml:space="preserve">de la </w:t>
      </w:r>
      <w:r w:rsidR="000E4E00" w:rsidRPr="000E4E00">
        <w:rPr>
          <w:rFonts w:asciiTheme="majorHAnsi" w:hAnsiTheme="majorHAnsi" w:cs="Arial"/>
          <w:b/>
          <w:i/>
          <w:color w:val="2088C2"/>
          <w:szCs w:val="30"/>
        </w:rPr>
        <w:t>Informática y las Telecomunicaciones</w:t>
      </w:r>
    </w:p>
    <w:p w:rsidR="00B55532" w:rsidRDefault="00B55532" w:rsidP="00B55532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:rsidR="008F390B" w:rsidRPr="00B55532" w:rsidRDefault="008F390B" w:rsidP="00B55532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:rsidR="00B25838" w:rsidRDefault="00873A77" w:rsidP="00B25838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 w:rsidRPr="007467A0">
        <w:rPr>
          <w:rFonts w:asciiTheme="majorHAnsi" w:hAnsiTheme="majorHAnsi" w:cs="Arial"/>
          <w:b/>
        </w:rPr>
        <w:t>Barcelona</w:t>
      </w:r>
      <w:r w:rsidR="00F425A8" w:rsidRPr="007467A0">
        <w:rPr>
          <w:rFonts w:asciiTheme="majorHAnsi" w:hAnsiTheme="majorHAnsi" w:cs="Arial"/>
          <w:b/>
        </w:rPr>
        <w:t xml:space="preserve">, a </w:t>
      </w:r>
      <w:r w:rsidR="001F3788">
        <w:rPr>
          <w:rFonts w:asciiTheme="majorHAnsi" w:hAnsiTheme="majorHAnsi" w:cs="Arial"/>
          <w:b/>
        </w:rPr>
        <w:t>24</w:t>
      </w:r>
      <w:bookmarkStart w:id="0" w:name="_GoBack"/>
      <w:bookmarkEnd w:id="0"/>
      <w:r w:rsidR="00F425A8" w:rsidRPr="007467A0">
        <w:rPr>
          <w:rFonts w:asciiTheme="majorHAnsi" w:hAnsiTheme="majorHAnsi" w:cs="Arial"/>
          <w:b/>
        </w:rPr>
        <w:t xml:space="preserve"> de abril de 2018</w:t>
      </w:r>
      <w:r w:rsidR="00F425A8" w:rsidRPr="007467A0">
        <w:rPr>
          <w:rFonts w:asciiTheme="majorHAnsi" w:hAnsiTheme="majorHAnsi"/>
          <w:b/>
        </w:rPr>
        <w:t>.</w:t>
      </w:r>
      <w:r w:rsidR="00F425A8" w:rsidRPr="007467A0">
        <w:rPr>
          <w:rFonts w:asciiTheme="majorHAnsi" w:hAnsiTheme="majorHAnsi"/>
        </w:rPr>
        <w:t xml:space="preserve"> </w:t>
      </w:r>
      <w:r w:rsidR="00A8012F" w:rsidRPr="007467A0">
        <w:rPr>
          <w:rFonts w:asciiTheme="majorHAnsi" w:hAnsiTheme="majorHAnsi"/>
        </w:rPr>
        <w:t xml:space="preserve">– En 2017, </w:t>
      </w:r>
      <w:r w:rsidR="00AB1074" w:rsidRPr="007467A0">
        <w:rPr>
          <w:rFonts w:asciiTheme="majorHAnsi" w:hAnsiTheme="majorHAnsi" w:cs="Arial"/>
        </w:rPr>
        <w:t xml:space="preserve">el </w:t>
      </w:r>
      <w:r w:rsidR="00AB1074" w:rsidRPr="007467A0">
        <w:rPr>
          <w:rFonts w:asciiTheme="majorHAnsi" w:hAnsiTheme="majorHAnsi" w:cs="Arial"/>
          <w:b/>
        </w:rPr>
        <w:t>51% de los profesionales del se</w:t>
      </w:r>
      <w:r w:rsidR="000866C6">
        <w:rPr>
          <w:rFonts w:asciiTheme="majorHAnsi" w:hAnsiTheme="majorHAnsi" w:cs="Arial"/>
          <w:b/>
        </w:rPr>
        <w:t>ctor TI que se inscribieron en</w:t>
      </w:r>
      <w:r w:rsidR="00AB1074" w:rsidRPr="007467A0">
        <w:rPr>
          <w:rFonts w:asciiTheme="majorHAnsi" w:hAnsiTheme="majorHAnsi" w:cs="Arial"/>
          <w:b/>
        </w:rPr>
        <w:t xml:space="preserve"> una oferta de trabajo en </w:t>
      </w:r>
      <w:hyperlink r:id="rId7" w:history="1">
        <w:r w:rsidR="00AB1074" w:rsidRPr="00B25838">
          <w:rPr>
            <w:rStyle w:val="Hipervnculo"/>
            <w:rFonts w:asciiTheme="majorHAnsi" w:hAnsiTheme="majorHAnsi" w:cs="Arial"/>
            <w:b/>
          </w:rPr>
          <w:t>InfoJobs</w:t>
        </w:r>
      </w:hyperlink>
      <w:r w:rsidR="00AB1074" w:rsidRPr="007467A0">
        <w:rPr>
          <w:rFonts w:asciiTheme="majorHAnsi" w:hAnsiTheme="majorHAnsi" w:cs="Arial"/>
          <w:b/>
        </w:rPr>
        <w:t xml:space="preserve"> consiguió firmar un contrato</w:t>
      </w:r>
      <w:r w:rsidR="00AB1074" w:rsidRPr="007467A0">
        <w:rPr>
          <w:rFonts w:asciiTheme="majorHAnsi" w:hAnsiTheme="majorHAnsi" w:cs="Arial"/>
        </w:rPr>
        <w:t xml:space="preserve">. </w:t>
      </w:r>
      <w:r w:rsidR="00B25838" w:rsidRPr="007467A0">
        <w:rPr>
          <w:rFonts w:asciiTheme="majorHAnsi" w:hAnsiTheme="majorHAnsi" w:cs="Arial"/>
        </w:rPr>
        <w:t xml:space="preserve">Esta cifra es significativamente superior al total de candidatos inscritos en InfoJobs que consiguieron un empleo en 2017: un 34%, y crece en 7 puntos porcentuales respecto al año anterior (el 44% de los inscritos en ofertas TI en 2016 consiguieron un contrato). </w:t>
      </w:r>
    </w:p>
    <w:p w:rsidR="004F67F2" w:rsidRDefault="004F67F2" w:rsidP="00B25838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</w:p>
    <w:p w:rsidR="004F67F2" w:rsidRPr="007467A0" w:rsidRDefault="004F67F2" w:rsidP="00B25838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Son</w:t>
      </w:r>
      <w:r w:rsidRPr="007467A0">
        <w:rPr>
          <w:rFonts w:asciiTheme="majorHAnsi" w:hAnsiTheme="majorHAnsi" w:cs="Arial"/>
        </w:rPr>
        <w:t xml:space="preserve"> datos recogidos en el “Informe de las Alegrías” de InfoJobs, elaborado por la consultora independiente TNS</w:t>
      </w:r>
      <w:r w:rsidRPr="007467A0">
        <w:rPr>
          <w:rStyle w:val="Refdenotaalpie"/>
          <w:rFonts w:asciiTheme="majorHAnsi" w:hAnsiTheme="majorHAnsi" w:cs="Arial"/>
        </w:rPr>
        <w:footnoteReference w:id="1"/>
      </w:r>
      <w:r>
        <w:rPr>
          <w:rFonts w:asciiTheme="majorHAnsi" w:hAnsiTheme="majorHAnsi" w:cs="Arial"/>
        </w:rPr>
        <w:t>.</w:t>
      </w:r>
    </w:p>
    <w:p w:rsidR="00AB1074" w:rsidRPr="007467A0" w:rsidRDefault="00AB1074" w:rsidP="00AB1074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</w:p>
    <w:p w:rsidR="00AB1074" w:rsidRDefault="00B25838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 w:rsidRPr="007467A0">
        <w:rPr>
          <w:rFonts w:asciiTheme="majorHAnsi" w:hAnsiTheme="majorHAnsi" w:cs="Arial"/>
        </w:rPr>
        <w:t xml:space="preserve">Las nuevas tecnologías han transformado la forma de hacer las cosas, y las empresas de todos los sectores, más allá del propiamente tecnológico, se han visto en la obligación de adaptarse a la nueva era digital, contando con profesionales capaces de liderar este cambio. </w:t>
      </w:r>
      <w:r>
        <w:rPr>
          <w:rFonts w:asciiTheme="majorHAnsi" w:hAnsiTheme="majorHAnsi" w:cs="Arial"/>
        </w:rPr>
        <w:t>En este contexto, en 2017</w:t>
      </w:r>
      <w:r w:rsidR="00AB1074">
        <w:rPr>
          <w:rFonts w:asciiTheme="majorHAnsi" w:hAnsiTheme="majorHAnsi" w:cs="Arial"/>
        </w:rPr>
        <w:t xml:space="preserve">, InfoJobs </w:t>
      </w:r>
      <w:r w:rsidR="004653F4" w:rsidRPr="007467A0">
        <w:rPr>
          <w:rFonts w:asciiTheme="majorHAnsi" w:hAnsiTheme="majorHAnsi" w:cs="Arial"/>
        </w:rPr>
        <w:t>contribuyó</w:t>
      </w:r>
      <w:r w:rsidR="005B7F38" w:rsidRPr="007467A0">
        <w:rPr>
          <w:rFonts w:asciiTheme="majorHAnsi" w:hAnsiTheme="majorHAnsi" w:cs="Arial"/>
        </w:rPr>
        <w:t xml:space="preserve"> a cerrar </w:t>
      </w:r>
      <w:r w:rsidR="008847BA" w:rsidRPr="007467A0">
        <w:rPr>
          <w:rFonts w:asciiTheme="majorHAnsi" w:hAnsiTheme="majorHAnsi" w:cs="Arial"/>
        </w:rPr>
        <w:t>cerca de</w:t>
      </w:r>
      <w:r w:rsidR="005B7F38" w:rsidRPr="007467A0">
        <w:rPr>
          <w:rFonts w:asciiTheme="majorHAnsi" w:hAnsiTheme="majorHAnsi" w:cs="Arial"/>
        </w:rPr>
        <w:t xml:space="preserve"> </w:t>
      </w:r>
      <w:r w:rsidR="008847BA" w:rsidRPr="007467A0">
        <w:rPr>
          <w:rFonts w:asciiTheme="majorHAnsi" w:hAnsiTheme="majorHAnsi" w:cs="Arial"/>
          <w:b/>
        </w:rPr>
        <w:t>120.000</w:t>
      </w:r>
      <w:r w:rsidR="005B7F38" w:rsidRPr="007467A0">
        <w:rPr>
          <w:rFonts w:asciiTheme="majorHAnsi" w:hAnsiTheme="majorHAnsi" w:cs="Arial"/>
          <w:b/>
        </w:rPr>
        <w:t xml:space="preserve"> contratos </w:t>
      </w:r>
      <w:r w:rsidR="005D49B0" w:rsidRPr="007467A0">
        <w:rPr>
          <w:rFonts w:asciiTheme="majorHAnsi" w:hAnsiTheme="majorHAnsi" w:cs="Arial"/>
          <w:b/>
        </w:rPr>
        <w:t xml:space="preserve">del sector </w:t>
      </w:r>
      <w:r w:rsidR="00D00EAB" w:rsidRPr="007467A0">
        <w:rPr>
          <w:rFonts w:asciiTheme="majorHAnsi" w:hAnsiTheme="majorHAnsi" w:cs="Arial"/>
          <w:b/>
        </w:rPr>
        <w:t>de la Informática y las Telecomunicaciones,</w:t>
      </w:r>
      <w:r w:rsidR="000E4E00" w:rsidRPr="007467A0">
        <w:rPr>
          <w:rFonts w:asciiTheme="majorHAnsi" w:hAnsiTheme="majorHAnsi" w:cs="Arial"/>
          <w:b/>
        </w:rPr>
        <w:t xml:space="preserve"> </w:t>
      </w:r>
      <w:r w:rsidR="000E4E00" w:rsidRPr="007467A0">
        <w:rPr>
          <w:rFonts w:asciiTheme="majorHAnsi" w:hAnsiTheme="majorHAnsi" w:cs="Arial"/>
        </w:rPr>
        <w:t>lo que supone el 8% del total de contratos cerrados en 2017</w:t>
      </w:r>
      <w:r w:rsidR="00AB1074">
        <w:rPr>
          <w:rFonts w:asciiTheme="majorHAnsi" w:hAnsiTheme="majorHAnsi" w:cs="Arial"/>
        </w:rPr>
        <w:t xml:space="preserve"> en su plataforma. </w:t>
      </w:r>
      <w:r w:rsidR="000E4E00" w:rsidRPr="007467A0">
        <w:rPr>
          <w:rFonts w:asciiTheme="majorHAnsi" w:hAnsiTheme="majorHAnsi" w:cs="Arial"/>
        </w:rPr>
        <w:t xml:space="preserve"> </w:t>
      </w:r>
    </w:p>
    <w:p w:rsidR="00AB1074" w:rsidRDefault="00AB1074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</w:p>
    <w:p w:rsidR="00A8012F" w:rsidRDefault="00B25838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Pero la buena marcha del sector se ve reflejada, no solo en el número de contratos cerrados, sino también en la calidad de los mismos y, a</w:t>
      </w:r>
      <w:r w:rsidRPr="007467A0">
        <w:rPr>
          <w:rFonts w:asciiTheme="majorHAnsi" w:hAnsiTheme="majorHAnsi" w:cs="Arial"/>
        </w:rPr>
        <w:t xml:space="preserve">ctualmente, en España, el sector TI es el que ofrece las mejores oportunidades laborales, </w:t>
      </w:r>
      <w:r w:rsidR="004F67F2">
        <w:rPr>
          <w:rFonts w:asciiTheme="majorHAnsi" w:hAnsiTheme="majorHAnsi" w:cs="Arial"/>
        </w:rPr>
        <w:t>con</w:t>
      </w:r>
      <w:r w:rsidRPr="007467A0">
        <w:rPr>
          <w:rFonts w:asciiTheme="majorHAnsi" w:hAnsiTheme="majorHAnsi" w:cs="Arial"/>
        </w:rPr>
        <w:t xml:space="preserve"> salarios por encima de la media</w:t>
      </w:r>
      <w:r w:rsidR="004F67F2">
        <w:rPr>
          <w:rFonts w:asciiTheme="majorHAnsi" w:hAnsiTheme="majorHAnsi" w:cs="Arial"/>
        </w:rPr>
        <w:t>,</w:t>
      </w:r>
      <w:r w:rsidRPr="007467A0">
        <w:rPr>
          <w:rFonts w:asciiTheme="majorHAnsi" w:hAnsiTheme="majorHAnsi" w:cs="Arial"/>
        </w:rPr>
        <w:t xml:space="preserve"> </w:t>
      </w:r>
      <w:r w:rsidR="004F67F2">
        <w:rPr>
          <w:rFonts w:asciiTheme="majorHAnsi" w:hAnsiTheme="majorHAnsi" w:cs="Arial"/>
        </w:rPr>
        <w:t xml:space="preserve">menor competencia por vacante y </w:t>
      </w:r>
      <w:r w:rsidR="004F67F2" w:rsidRPr="007467A0">
        <w:rPr>
          <w:rFonts w:asciiTheme="majorHAnsi" w:hAnsiTheme="majorHAnsi" w:cs="Arial"/>
        </w:rPr>
        <w:t>con contratos de mayor duración</w:t>
      </w:r>
      <w:r w:rsidRPr="007467A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AB1074">
        <w:rPr>
          <w:rFonts w:asciiTheme="majorHAnsi" w:hAnsiTheme="majorHAnsi" w:cs="Arial"/>
        </w:rPr>
        <w:t xml:space="preserve">De esta manera, </w:t>
      </w:r>
      <w:r w:rsidR="00AB1074" w:rsidRPr="004F67F2">
        <w:rPr>
          <w:rFonts w:asciiTheme="majorHAnsi" w:hAnsiTheme="majorHAnsi" w:cs="Arial"/>
          <w:b/>
          <w:i/>
        </w:rPr>
        <w:t>Informática y Telecomunicaciones</w:t>
      </w:r>
      <w:r w:rsidR="00AB1074" w:rsidRPr="004F67F2">
        <w:rPr>
          <w:rFonts w:asciiTheme="majorHAnsi" w:hAnsiTheme="majorHAnsi" w:cs="Arial"/>
          <w:b/>
        </w:rPr>
        <w:t xml:space="preserve"> es el sector donde </w:t>
      </w:r>
      <w:r w:rsidR="003D31C6" w:rsidRPr="004F67F2">
        <w:rPr>
          <w:rFonts w:asciiTheme="majorHAnsi" w:hAnsiTheme="majorHAnsi" w:cs="Arial"/>
          <w:b/>
        </w:rPr>
        <w:t>más contratos indefinidos se cierran</w:t>
      </w:r>
      <w:r w:rsidR="003D31C6" w:rsidRPr="007467A0">
        <w:rPr>
          <w:rFonts w:asciiTheme="majorHAnsi" w:hAnsiTheme="majorHAnsi" w:cs="Arial"/>
        </w:rPr>
        <w:t xml:space="preserve">. En concreto, en 2017, el 18% de los contratos </w:t>
      </w:r>
      <w:r w:rsidR="003D31C6" w:rsidRPr="007467A0">
        <w:rPr>
          <w:rFonts w:asciiTheme="majorHAnsi" w:hAnsiTheme="majorHAnsi" w:cs="Arial"/>
        </w:rPr>
        <w:lastRenderedPageBreak/>
        <w:t xml:space="preserve">indefinidos canalizados a través de InfoJobs correspondió a puestos de TI, seguido por </w:t>
      </w:r>
      <w:r w:rsidR="003D31C6" w:rsidRPr="007467A0">
        <w:rPr>
          <w:rFonts w:asciiTheme="majorHAnsi" w:hAnsiTheme="majorHAnsi" w:cs="Arial"/>
          <w:i/>
        </w:rPr>
        <w:t>Comercial, Ventas y Televenta</w:t>
      </w:r>
      <w:r w:rsidR="003D31C6" w:rsidRPr="007467A0">
        <w:rPr>
          <w:rFonts w:asciiTheme="majorHAnsi" w:hAnsiTheme="majorHAnsi" w:cs="Arial"/>
        </w:rPr>
        <w:t xml:space="preserve"> (13% de los contratos indefinidos) y </w:t>
      </w:r>
      <w:r w:rsidR="003D31C6" w:rsidRPr="007467A0">
        <w:rPr>
          <w:rFonts w:asciiTheme="majorHAnsi" w:hAnsiTheme="majorHAnsi" w:cs="Arial"/>
          <w:i/>
        </w:rPr>
        <w:t>Calidad, Producción, Ingeniería e I+D</w:t>
      </w:r>
      <w:r w:rsidR="003D31C6" w:rsidRPr="007467A0">
        <w:rPr>
          <w:rFonts w:asciiTheme="majorHAnsi" w:hAnsiTheme="majorHAnsi" w:cs="Arial"/>
        </w:rPr>
        <w:t xml:space="preserve"> (10%). </w:t>
      </w:r>
    </w:p>
    <w:p w:rsidR="00AB1074" w:rsidRDefault="00AB1074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</w:p>
    <w:p w:rsidR="007B14C0" w:rsidRDefault="007B14C0" w:rsidP="007B14C0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 w:rsidRPr="007467A0">
        <w:rPr>
          <w:rFonts w:asciiTheme="majorHAnsi" w:hAnsiTheme="majorHAnsi" w:cs="Arial"/>
          <w:i/>
        </w:rPr>
        <w:t>“En los últimos años, el auge del sector de la Informática y las telecomunicaciones se ha hecho más evidente y hemos podido apreciar un incremento significativo en la demanda de personas especializadas en el sector TI”,</w:t>
      </w:r>
      <w:r w:rsidRPr="007467A0">
        <w:rPr>
          <w:rFonts w:asciiTheme="majorHAnsi" w:hAnsiTheme="majorHAnsi" w:cs="Arial"/>
        </w:rPr>
        <w:t xml:space="preserve"> explica Dominique Cerri, Directora General de InfoJobs</w:t>
      </w:r>
      <w:r>
        <w:rPr>
          <w:rFonts w:asciiTheme="majorHAnsi" w:hAnsiTheme="majorHAnsi" w:cs="Arial"/>
        </w:rPr>
        <w:t>.</w:t>
      </w:r>
      <w:r w:rsidRPr="007467A0">
        <w:rPr>
          <w:rFonts w:asciiTheme="majorHAnsi" w:hAnsiTheme="majorHAnsi" w:cs="Arial"/>
          <w:i/>
        </w:rPr>
        <w:t xml:space="preserve"> “Hablamos de profesiones como Consultor de Ciberseguridad o Consultor Hacking, Especialista en Agile/Scrum o UX, Programador de APPs móviles o Desarrollador de soluciones Big Data, entre otras muchas. Profesiones que abren todo un abanico de oportunidades a jóvenes que tienen que decidir ahora su futuro profesional, pero también a aquéllos que quieren crecer profesionalmente o reinventarse en un sector con buenas oportunidades laborales”, </w:t>
      </w:r>
      <w:r w:rsidRPr="007467A0">
        <w:rPr>
          <w:rFonts w:asciiTheme="majorHAnsi" w:hAnsiTheme="majorHAnsi" w:cs="Arial"/>
        </w:rPr>
        <w:t xml:space="preserve">añade Cerri. </w:t>
      </w:r>
    </w:p>
    <w:p w:rsidR="007B14C0" w:rsidRPr="007467A0" w:rsidRDefault="007B14C0" w:rsidP="007B14C0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</w:p>
    <w:p w:rsidR="00D04417" w:rsidRPr="007467A0" w:rsidRDefault="007B14C0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nivel estatal y teniendo en cuenta todos los sectores</w:t>
      </w:r>
      <w:r w:rsidR="008F390B" w:rsidRPr="007467A0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InfoJobs ha batido </w:t>
      </w:r>
      <w:r w:rsidR="00B24793" w:rsidRPr="007467A0">
        <w:rPr>
          <w:rFonts w:asciiTheme="majorHAnsi" w:hAnsiTheme="majorHAnsi" w:cs="Arial"/>
        </w:rPr>
        <w:t>en 2017</w:t>
      </w:r>
      <w:r w:rsidR="001F3D70" w:rsidRPr="007467A0">
        <w:rPr>
          <w:rFonts w:asciiTheme="majorHAnsi" w:hAnsiTheme="majorHAnsi" w:cs="Arial"/>
        </w:rPr>
        <w:t>,</w:t>
      </w:r>
      <w:r w:rsidR="00D04417" w:rsidRPr="007467A0">
        <w:rPr>
          <w:rFonts w:asciiTheme="majorHAnsi" w:hAnsiTheme="majorHAnsi" w:cs="Arial"/>
        </w:rPr>
        <w:t xml:space="preserve"> un </w:t>
      </w:r>
      <w:r w:rsidR="00D04417" w:rsidRPr="007467A0">
        <w:rPr>
          <w:rFonts w:asciiTheme="majorHAnsi" w:hAnsiTheme="majorHAnsi" w:cs="Arial"/>
          <w:b/>
        </w:rPr>
        <w:t>nuevo récord</w:t>
      </w:r>
      <w:r>
        <w:rPr>
          <w:rFonts w:asciiTheme="majorHAnsi" w:hAnsiTheme="majorHAnsi" w:cs="Arial"/>
          <w:b/>
        </w:rPr>
        <w:t xml:space="preserve"> de alegrías,</w:t>
      </w:r>
      <w:r w:rsidR="00D04417" w:rsidRPr="007467A0">
        <w:rPr>
          <w:rFonts w:asciiTheme="majorHAnsi" w:hAnsiTheme="majorHAnsi" w:cs="Arial"/>
          <w:b/>
        </w:rPr>
        <w:t xml:space="preserve"> con </w:t>
      </w:r>
      <w:r w:rsidR="00390DE3" w:rsidRPr="007467A0">
        <w:rPr>
          <w:rFonts w:asciiTheme="majorHAnsi" w:hAnsiTheme="majorHAnsi" w:cs="Arial"/>
          <w:b/>
        </w:rPr>
        <w:t>1.493.472</w:t>
      </w:r>
      <w:r w:rsidR="00D04417" w:rsidRPr="007467A0">
        <w:rPr>
          <w:rFonts w:asciiTheme="majorHAnsi" w:hAnsiTheme="majorHAnsi" w:cs="Arial"/>
          <w:b/>
        </w:rPr>
        <w:t xml:space="preserve"> contratos</w:t>
      </w:r>
      <w:r w:rsidR="00390DE3" w:rsidRPr="007467A0">
        <w:rPr>
          <w:rFonts w:asciiTheme="majorHAnsi" w:hAnsiTheme="majorHAnsi" w:cs="Arial"/>
        </w:rPr>
        <w:t xml:space="preserve"> de trabajo</w:t>
      </w:r>
      <w:r w:rsidR="000D34C3" w:rsidRPr="007467A0">
        <w:rPr>
          <w:rFonts w:asciiTheme="majorHAnsi" w:hAnsiTheme="majorHAnsi" w:cs="Arial"/>
        </w:rPr>
        <w:t xml:space="preserve"> </w:t>
      </w:r>
      <w:r w:rsidR="00D04417" w:rsidRPr="007467A0">
        <w:rPr>
          <w:rFonts w:asciiTheme="majorHAnsi" w:hAnsiTheme="majorHAnsi" w:cs="Arial"/>
        </w:rPr>
        <w:t xml:space="preserve">cerrados. Esta cifra supone un crecimiento del </w:t>
      </w:r>
      <w:r w:rsidR="00390DE3" w:rsidRPr="007467A0">
        <w:rPr>
          <w:rFonts w:asciiTheme="majorHAnsi" w:hAnsiTheme="majorHAnsi" w:cs="Arial"/>
        </w:rPr>
        <w:t xml:space="preserve">24% respecto a 2016, cuando se </w:t>
      </w:r>
      <w:r w:rsidR="00B7723C" w:rsidRPr="007467A0">
        <w:rPr>
          <w:rFonts w:asciiTheme="majorHAnsi" w:hAnsiTheme="majorHAnsi" w:cs="Arial"/>
        </w:rPr>
        <w:t>firmaron</w:t>
      </w:r>
      <w:r w:rsidR="00390DE3" w:rsidRPr="007467A0">
        <w:rPr>
          <w:rFonts w:asciiTheme="majorHAnsi" w:hAnsiTheme="majorHAnsi" w:cs="Arial"/>
        </w:rPr>
        <w:t xml:space="preserve"> 1.205.731 contratos </w:t>
      </w:r>
      <w:r w:rsidR="00B7723C" w:rsidRPr="007467A0">
        <w:rPr>
          <w:rFonts w:asciiTheme="majorHAnsi" w:hAnsiTheme="majorHAnsi" w:cs="Arial"/>
        </w:rPr>
        <w:t>a través de</w:t>
      </w:r>
      <w:r w:rsidR="00390DE3" w:rsidRPr="007467A0">
        <w:rPr>
          <w:rFonts w:asciiTheme="majorHAnsi" w:hAnsiTheme="majorHAnsi" w:cs="Arial"/>
        </w:rPr>
        <w:t xml:space="preserve"> InfoJobs, y duplica el número de contratos </w:t>
      </w:r>
      <w:r w:rsidR="00024879" w:rsidRPr="007467A0">
        <w:rPr>
          <w:rFonts w:asciiTheme="majorHAnsi" w:hAnsiTheme="majorHAnsi" w:cs="Arial"/>
        </w:rPr>
        <w:t>conseguidos en 2014</w:t>
      </w:r>
      <w:r w:rsidR="008847BA" w:rsidRPr="007467A0">
        <w:rPr>
          <w:rFonts w:asciiTheme="majorHAnsi" w:hAnsiTheme="majorHAnsi" w:cs="Arial"/>
        </w:rPr>
        <w:t xml:space="preserve">, confirmando la </w:t>
      </w:r>
      <w:r w:rsidR="00D04417" w:rsidRPr="007467A0">
        <w:rPr>
          <w:rFonts w:asciiTheme="majorHAnsi" w:hAnsiTheme="majorHAnsi" w:cs="Arial"/>
        </w:rPr>
        <w:t>recuperación del mercado la</w:t>
      </w:r>
      <w:r w:rsidR="00390DE3" w:rsidRPr="007467A0">
        <w:rPr>
          <w:rFonts w:asciiTheme="majorHAnsi" w:hAnsiTheme="majorHAnsi" w:cs="Arial"/>
        </w:rPr>
        <w:t xml:space="preserve">boral en nuestro país, que ya se </w:t>
      </w:r>
      <w:r w:rsidR="002F113B" w:rsidRPr="007467A0">
        <w:rPr>
          <w:rFonts w:asciiTheme="majorHAnsi" w:hAnsiTheme="majorHAnsi" w:cs="Arial"/>
        </w:rPr>
        <w:t xml:space="preserve">empezó a apreciar </w:t>
      </w:r>
      <w:r w:rsidR="00B7723C" w:rsidRPr="007467A0">
        <w:rPr>
          <w:rFonts w:asciiTheme="majorHAnsi" w:hAnsiTheme="majorHAnsi" w:cs="Arial"/>
        </w:rPr>
        <w:t>el año anterior.</w:t>
      </w:r>
      <w:r w:rsidR="00390DE3" w:rsidRPr="007467A0">
        <w:rPr>
          <w:rFonts w:asciiTheme="majorHAnsi" w:hAnsiTheme="majorHAnsi" w:cs="Arial"/>
        </w:rPr>
        <w:t xml:space="preserve"> </w:t>
      </w:r>
    </w:p>
    <w:p w:rsidR="00545DBD" w:rsidRDefault="00545DBD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A6198A" w:rsidRDefault="00A6198A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467A0" w:rsidRDefault="007467A0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lang w:eastAsia="es-ES"/>
        </w:rPr>
      </w:pPr>
      <w:r w:rsidRPr="00F733FE"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  <w:t>Sobre InfoJobs</w:t>
      </w:r>
      <w:r w:rsidRPr="00C26017">
        <w:rPr>
          <w:rFonts w:ascii="Arial" w:hAnsi="Arial" w:cs="Arial"/>
          <w:b/>
          <w:color w:val="808080"/>
          <w:sz w:val="18"/>
          <w:szCs w:val="16"/>
          <w:lang w:eastAsia="es-ES"/>
        </w:rPr>
        <w:t>:</w:t>
      </w:r>
    </w:p>
    <w:p w:rsidR="00C26017" w:rsidRPr="00F733FE" w:rsidRDefault="00C26017" w:rsidP="00C26017">
      <w:pPr>
        <w:pStyle w:val="IJTextonormal"/>
        <w:rPr>
          <w:sz w:val="12"/>
        </w:rPr>
      </w:pPr>
    </w:p>
    <w:p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8" w:history="1">
        <w:r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>, ascendiendo el último año a más de 2.</w:t>
      </w:r>
      <w:r w:rsidR="002F6853">
        <w:rPr>
          <w:rFonts w:ascii="Arial" w:hAnsi="Arial" w:cs="Arial"/>
          <w:color w:val="808080"/>
          <w:sz w:val="18"/>
          <w:szCs w:val="16"/>
          <w:lang w:eastAsia="es-ES"/>
        </w:rPr>
        <w:t>6</w:t>
      </w:r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C26017" w:rsidRPr="00C26017" w:rsidRDefault="00C26017" w:rsidP="00C26017">
      <w:pPr>
        <w:spacing w:line="360" w:lineRule="auto"/>
        <w:jc w:val="both"/>
        <w:rPr>
          <w:rFonts w:ascii="Arial" w:hAnsi="Arial" w:cs="Arial"/>
          <w:color w:val="808080"/>
          <w:sz w:val="10"/>
          <w:szCs w:val="10"/>
        </w:rPr>
      </w:pPr>
    </w:p>
    <w:p w:rsidR="00C26017" w:rsidRPr="00C26017" w:rsidRDefault="001F3788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hyperlink r:id="rId9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0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cuenta con los siguientes portales de referencia: </w:t>
      </w:r>
      <w:hyperlink r:id="rId11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vibbo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2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fotocasa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3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habitaclia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4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coches.net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5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motos.net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y </w:t>
      </w:r>
      <w:hyperlink r:id="rId16" w:history="1">
        <w:r w:rsidR="00C26017" w:rsidRPr="00C26017">
          <w:rPr>
            <w:rFonts w:ascii="Arial" w:hAnsi="Arial" w:cs="Arial"/>
            <w:color w:val="808080"/>
            <w:sz w:val="18"/>
            <w:szCs w:val="18"/>
          </w:rPr>
          <w:t>milanuncios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. </w:t>
      </w:r>
      <w:hyperlink r:id="rId17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 Spain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18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 Spain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.</w:t>
      </w:r>
    </w:p>
    <w:p w:rsidR="007467A0" w:rsidRPr="007467A0" w:rsidRDefault="007467A0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24"/>
          <w:szCs w:val="20"/>
          <w:u w:val="single"/>
        </w:rPr>
      </w:pPr>
    </w:p>
    <w:p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C26017">
        <w:rPr>
          <w:rFonts w:ascii="Arial" w:hAnsi="Arial" w:cs="Arial"/>
          <w:b/>
          <w:color w:val="808080"/>
          <w:sz w:val="20"/>
          <w:szCs w:val="20"/>
          <w:u w:val="single"/>
        </w:rPr>
        <w:t>Contacto</w:t>
      </w:r>
      <w:r w:rsidRPr="00C26017">
        <w:rPr>
          <w:rFonts w:ascii="Arial" w:hAnsi="Arial" w:cs="Arial"/>
          <w:color w:val="808080"/>
          <w:sz w:val="20"/>
          <w:szCs w:val="20"/>
        </w:rPr>
        <w:t>:</w:t>
      </w:r>
    </w:p>
    <w:p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C26017">
        <w:rPr>
          <w:rFonts w:ascii="Arial" w:hAnsi="Arial" w:cs="Arial"/>
          <w:b/>
          <w:color w:val="808080"/>
          <w:sz w:val="20"/>
          <w:szCs w:val="20"/>
        </w:rPr>
        <w:t>InfoJobs</w:t>
      </w:r>
      <w:r w:rsidRPr="00C26017">
        <w:rPr>
          <w:rFonts w:ascii="Arial" w:hAnsi="Arial" w:cs="Arial"/>
          <w:color w:val="808080"/>
          <w:sz w:val="20"/>
          <w:szCs w:val="20"/>
        </w:rPr>
        <w:t>: Judith Monmany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b/>
          <w:color w:val="808080"/>
          <w:sz w:val="20"/>
          <w:szCs w:val="20"/>
        </w:rPr>
        <w:t>Evercom</w:t>
      </w:r>
      <w:r w:rsidRPr="00C26017">
        <w:rPr>
          <w:rFonts w:ascii="Arial" w:hAnsi="Arial" w:cs="Arial"/>
          <w:color w:val="808080"/>
          <w:sz w:val="20"/>
          <w:szCs w:val="20"/>
        </w:rPr>
        <w:t xml:space="preserve">: Ana Aguilar / Laura Gómez </w:t>
      </w:r>
    </w:p>
    <w:p w:rsidR="00C26017" w:rsidRPr="006F3491" w:rsidRDefault="001F3788" w:rsidP="00C26017">
      <w:pPr>
        <w:pStyle w:val="Sinespaciado"/>
        <w:spacing w:line="360" w:lineRule="auto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hyperlink r:id="rId19" w:history="1">
        <w:r w:rsidR="00C26017" w:rsidRPr="00BC2A88">
          <w:rPr>
            <w:rStyle w:val="Hipervnculo"/>
            <w:rFonts w:ascii="Arial" w:hAnsi="Arial" w:cs="Arial"/>
            <w:sz w:val="20"/>
            <w:szCs w:val="20"/>
          </w:rPr>
          <w:t>judith.monmany@schibsted.com</w:t>
        </w:r>
      </w:hyperlink>
      <w:r w:rsidR="00C26017" w:rsidRPr="006F3491">
        <w:rPr>
          <w:rFonts w:ascii="Arial" w:hAnsi="Arial" w:cs="Arial"/>
          <w:color w:val="0563C1"/>
          <w:sz w:val="20"/>
          <w:szCs w:val="20"/>
        </w:rPr>
        <w:tab/>
      </w:r>
      <w:r w:rsidR="00C26017" w:rsidRPr="00C26017">
        <w:rPr>
          <w:rFonts w:ascii="Arial" w:hAnsi="Arial" w:cs="Arial"/>
          <w:color w:val="808080"/>
          <w:sz w:val="20"/>
          <w:szCs w:val="20"/>
        </w:rPr>
        <w:tab/>
      </w:r>
      <w:hyperlink r:id="rId20" w:history="1">
        <w:r w:rsidR="00C26017" w:rsidRPr="00592B38">
          <w:rPr>
            <w:rStyle w:val="Hipervnculo"/>
            <w:rFonts w:cs="Mangal"/>
          </w:rPr>
          <w:t>infojobs@evercom.es</w:t>
        </w:r>
      </w:hyperlink>
    </w:p>
    <w:p w:rsidR="00C26017" w:rsidRPr="00D334A0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C26017">
        <w:rPr>
          <w:rFonts w:ascii="Arial" w:hAnsi="Arial" w:cs="Arial"/>
          <w:color w:val="808080"/>
          <w:sz w:val="20"/>
          <w:szCs w:val="20"/>
        </w:rPr>
        <w:t>T. 648 76 70 54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  <w:t>T. 93 415 3705 / 91 577 9272</w:t>
      </w:r>
    </w:p>
    <w:p w:rsidR="00F425A8" w:rsidRPr="001A3D63" w:rsidRDefault="00F425A8" w:rsidP="001A3D63">
      <w:pPr>
        <w:tabs>
          <w:tab w:val="left" w:pos="2400"/>
        </w:tabs>
        <w:spacing w:line="240" w:lineRule="auto"/>
        <w:rPr>
          <w:rFonts w:asciiTheme="majorHAnsi" w:hAnsiTheme="majorHAnsi" w:cs="Arial"/>
          <w:color w:val="595959"/>
          <w:sz w:val="24"/>
          <w:szCs w:val="24"/>
        </w:rPr>
      </w:pPr>
    </w:p>
    <w:sectPr w:rsidR="00F425A8" w:rsidRPr="001A3D63" w:rsidSect="001D0337">
      <w:headerReference w:type="default" r:id="rId21"/>
      <w:footerReference w:type="default" r:id="rId2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4E" w:rsidRDefault="0044604E" w:rsidP="00F34565">
      <w:pPr>
        <w:spacing w:after="0" w:line="240" w:lineRule="auto"/>
      </w:pPr>
      <w:r>
        <w:separator/>
      </w:r>
    </w:p>
  </w:endnote>
  <w:endnote w:type="continuationSeparator" w:id="0">
    <w:p w:rsidR="0044604E" w:rsidRDefault="0044604E" w:rsidP="00F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8046"/>
      <w:docPartObj>
        <w:docPartGallery w:val="Page Numbers (Bottom of Page)"/>
        <w:docPartUnique/>
      </w:docPartObj>
    </w:sdtPr>
    <w:sdtEndPr/>
    <w:sdtContent>
      <w:p w:rsidR="002B199E" w:rsidRDefault="002B199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3008A9A3" wp14:editId="576099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199E" w:rsidRDefault="002B19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F3788" w:rsidRPr="001F378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08A9A3" id="Grupo 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1JNwQAAA8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Hka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EJvbUk3BAAADw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2B199E" w:rsidRDefault="002B19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F3788" w:rsidRPr="001F378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4E" w:rsidRDefault="0044604E" w:rsidP="00F34565">
      <w:pPr>
        <w:spacing w:after="0" w:line="240" w:lineRule="auto"/>
      </w:pPr>
      <w:r>
        <w:separator/>
      </w:r>
    </w:p>
  </w:footnote>
  <w:footnote w:type="continuationSeparator" w:id="0">
    <w:p w:rsidR="0044604E" w:rsidRDefault="0044604E" w:rsidP="00F34565">
      <w:pPr>
        <w:spacing w:after="0" w:line="240" w:lineRule="auto"/>
      </w:pPr>
      <w:r>
        <w:continuationSeparator/>
      </w:r>
    </w:p>
  </w:footnote>
  <w:footnote w:id="1">
    <w:p w:rsidR="004F67F2" w:rsidRDefault="004F67F2" w:rsidP="004F67F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80A0B">
        <w:rPr>
          <w:sz w:val="18"/>
        </w:rPr>
        <w:t xml:space="preserve">Elaboración de </w:t>
      </w:r>
      <w:r>
        <w:rPr>
          <w:sz w:val="18"/>
        </w:rPr>
        <w:t xml:space="preserve">dos </w:t>
      </w:r>
      <w:r w:rsidRPr="00780A0B">
        <w:rPr>
          <w:sz w:val="18"/>
        </w:rPr>
        <w:t>estudios independientes realizados de forma simultánea: estudio representativo entre candidatos de InfoJobs que se han inscrito en alguna oferta en 201</w:t>
      </w:r>
      <w:r>
        <w:rPr>
          <w:sz w:val="18"/>
        </w:rPr>
        <w:t>7</w:t>
      </w:r>
      <w:r w:rsidRPr="00780A0B">
        <w:rPr>
          <w:sz w:val="18"/>
        </w:rPr>
        <w:t xml:space="preserve"> (3.</w:t>
      </w:r>
      <w:r>
        <w:rPr>
          <w:sz w:val="18"/>
        </w:rPr>
        <w:t>715</w:t>
      </w:r>
      <w:r w:rsidRPr="00780A0B">
        <w:rPr>
          <w:sz w:val="18"/>
        </w:rPr>
        <w:t xml:space="preserve"> individuos con un margen de error del +/- 1,78%</w:t>
      </w:r>
      <w:r>
        <w:rPr>
          <w:sz w:val="18"/>
        </w:rPr>
        <w:t xml:space="preserve"> para un intervalo de confianza del 95,5%</w:t>
      </w:r>
      <w:r w:rsidRPr="00780A0B">
        <w:rPr>
          <w:sz w:val="18"/>
        </w:rPr>
        <w:t>), y estudio representativo de los individuos de 18 a 55 años residentes en Península, Baleares y Canarias (</w:t>
      </w:r>
      <w:r>
        <w:rPr>
          <w:sz w:val="18"/>
        </w:rPr>
        <w:t>3.510</w:t>
      </w:r>
      <w:r w:rsidRPr="00780A0B">
        <w:rPr>
          <w:sz w:val="18"/>
        </w:rPr>
        <w:t xml:space="preserve"> individuos representativos, margen de error de +/- 3,16%</w:t>
      </w:r>
      <w:r>
        <w:rPr>
          <w:sz w:val="18"/>
        </w:rPr>
        <w:t xml:space="preserve"> para intervalo de confianza del 95,5%</w:t>
      </w:r>
      <w:r w:rsidRPr="00780A0B">
        <w:rPr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72" w:rsidRDefault="0051170B" w:rsidP="00F34565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E5D61" wp14:editId="17514CD3">
              <wp:simplePos x="0" y="0"/>
              <wp:positionH relativeFrom="column">
                <wp:posOffset>-1103630</wp:posOffset>
              </wp:positionH>
              <wp:positionV relativeFrom="paragraph">
                <wp:posOffset>-360045</wp:posOffset>
              </wp:positionV>
              <wp:extent cx="7790180" cy="109728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0180" cy="10972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597DDF9" id="5 Rectángulo" o:spid="_x0000_s1026" style="position:absolute;margin-left:-86.9pt;margin-top:-28.35pt;width:613.4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" fillcolor="#f2f2f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F46D" wp14:editId="1739AECD">
              <wp:simplePos x="0" y="0"/>
              <wp:positionH relativeFrom="column">
                <wp:posOffset>1860550</wp:posOffset>
              </wp:positionH>
              <wp:positionV relativeFrom="paragraph">
                <wp:posOffset>-87630</wp:posOffset>
              </wp:positionV>
              <wp:extent cx="1746885" cy="571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472" w:rsidRPr="00E667C6" w:rsidRDefault="00055472" w:rsidP="00F34565">
                          <w:pPr>
                            <w:rPr>
                              <w:smallCaps/>
                            </w:rPr>
                          </w:pP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>Nota</w:t>
                          </w: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4FCF4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6.5pt;margin-top:-6.9pt;width:137.55pt;height: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" filled="f" stroked="f">
              <v:textbox style="mso-fit-shape-to-text:t">
                <w:txbxContent>
                  <w:p w:rsidR="00055472" w:rsidRPr="00E667C6" w:rsidRDefault="00055472" w:rsidP="00F34565">
                    <w:pPr>
                      <w:rPr>
                        <w:smallCaps/>
                      </w:rPr>
                    </w:pPr>
                    <w:r w:rsidRPr="00F34565">
                      <w:rPr>
                        <w:rFonts w:ascii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mallCaps/>
                        <w:color w:val="BFBFBF"/>
                      </w:rPr>
                      <w:t>Nota</w:t>
                    </w:r>
                    <w:r w:rsidRPr="00F34565">
                      <w:rPr>
                        <w:rFonts w:ascii="Arial" w:hAnsi="Arial" w:cs="Arial"/>
                        <w:smallCaps/>
                        <w:color w:val="BFBFBF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  <w:r w:rsidR="00055472">
      <w:rPr>
        <w:noProof/>
      </w:rPr>
      <w:drawing>
        <wp:anchor distT="0" distB="0" distL="114300" distR="114300" simplePos="0" relativeHeight="251661312" behindDoc="0" locked="0" layoutInCell="1" allowOverlap="1" wp14:anchorId="1AF3A09A" wp14:editId="0F64FB48">
          <wp:simplePos x="0" y="0"/>
          <wp:positionH relativeFrom="margin">
            <wp:posOffset>-108585</wp:posOffset>
          </wp:positionH>
          <wp:positionV relativeFrom="paragraph">
            <wp:posOffset>-415290</wp:posOffset>
          </wp:positionV>
          <wp:extent cx="2060575" cy="1195705"/>
          <wp:effectExtent l="0" t="0" r="0" b="0"/>
          <wp:wrapSquare wrapText="bothSides"/>
          <wp:docPr id="3" name="Imagen 2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5472" w:rsidRDefault="00055472">
    <w:pPr>
      <w:pStyle w:val="Encabezado"/>
    </w:pPr>
  </w:p>
  <w:p w:rsidR="00055472" w:rsidRDefault="00055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2CEE"/>
    <w:multiLevelType w:val="hybridMultilevel"/>
    <w:tmpl w:val="CFBE3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5"/>
    <w:rsid w:val="00005E29"/>
    <w:rsid w:val="00024879"/>
    <w:rsid w:val="00046340"/>
    <w:rsid w:val="00055472"/>
    <w:rsid w:val="0006404B"/>
    <w:rsid w:val="00075CDF"/>
    <w:rsid w:val="00080D97"/>
    <w:rsid w:val="000866C6"/>
    <w:rsid w:val="000D34C3"/>
    <w:rsid w:val="000E0DDC"/>
    <w:rsid w:val="000E2670"/>
    <w:rsid w:val="000E3063"/>
    <w:rsid w:val="000E31F6"/>
    <w:rsid w:val="000E39B2"/>
    <w:rsid w:val="000E4E00"/>
    <w:rsid w:val="000E5E2C"/>
    <w:rsid w:val="001311B3"/>
    <w:rsid w:val="00172E34"/>
    <w:rsid w:val="001A3D63"/>
    <w:rsid w:val="001A4803"/>
    <w:rsid w:val="001D0337"/>
    <w:rsid w:val="001D1C07"/>
    <w:rsid w:val="001F3788"/>
    <w:rsid w:val="001F3D70"/>
    <w:rsid w:val="002253E6"/>
    <w:rsid w:val="00225AEE"/>
    <w:rsid w:val="002327EC"/>
    <w:rsid w:val="00241C15"/>
    <w:rsid w:val="00252B85"/>
    <w:rsid w:val="00260DD8"/>
    <w:rsid w:val="002649A5"/>
    <w:rsid w:val="0027468E"/>
    <w:rsid w:val="002924B5"/>
    <w:rsid w:val="002B199E"/>
    <w:rsid w:val="002F113B"/>
    <w:rsid w:val="002F6853"/>
    <w:rsid w:val="00327C27"/>
    <w:rsid w:val="003772B2"/>
    <w:rsid w:val="00390DE3"/>
    <w:rsid w:val="003D31C6"/>
    <w:rsid w:val="003F2CE5"/>
    <w:rsid w:val="0044604E"/>
    <w:rsid w:val="004653F4"/>
    <w:rsid w:val="00495D57"/>
    <w:rsid w:val="004A2229"/>
    <w:rsid w:val="004B6564"/>
    <w:rsid w:val="004E7B47"/>
    <w:rsid w:val="004F67F2"/>
    <w:rsid w:val="0051170B"/>
    <w:rsid w:val="00540430"/>
    <w:rsid w:val="00545DBD"/>
    <w:rsid w:val="00556F3A"/>
    <w:rsid w:val="00571BDF"/>
    <w:rsid w:val="00592B38"/>
    <w:rsid w:val="005B3750"/>
    <w:rsid w:val="005B5355"/>
    <w:rsid w:val="005B7F38"/>
    <w:rsid w:val="005C3D8E"/>
    <w:rsid w:val="005D49B0"/>
    <w:rsid w:val="005D504E"/>
    <w:rsid w:val="005E7E5E"/>
    <w:rsid w:val="005F1260"/>
    <w:rsid w:val="00651DF9"/>
    <w:rsid w:val="006B3E6C"/>
    <w:rsid w:val="006B5590"/>
    <w:rsid w:val="006F25E4"/>
    <w:rsid w:val="006F3491"/>
    <w:rsid w:val="00711FDC"/>
    <w:rsid w:val="00717FD8"/>
    <w:rsid w:val="00732B09"/>
    <w:rsid w:val="007467A0"/>
    <w:rsid w:val="007B14C0"/>
    <w:rsid w:val="007B27CE"/>
    <w:rsid w:val="007D5856"/>
    <w:rsid w:val="007E6FFB"/>
    <w:rsid w:val="00826AF8"/>
    <w:rsid w:val="00833DCF"/>
    <w:rsid w:val="00873A77"/>
    <w:rsid w:val="008827B4"/>
    <w:rsid w:val="008847BA"/>
    <w:rsid w:val="008B2497"/>
    <w:rsid w:val="008E1737"/>
    <w:rsid w:val="008F18C1"/>
    <w:rsid w:val="008F390B"/>
    <w:rsid w:val="009162FB"/>
    <w:rsid w:val="00962504"/>
    <w:rsid w:val="009975AB"/>
    <w:rsid w:val="009A21E8"/>
    <w:rsid w:val="009E7811"/>
    <w:rsid w:val="00A00EC9"/>
    <w:rsid w:val="00A04C71"/>
    <w:rsid w:val="00A24871"/>
    <w:rsid w:val="00A42064"/>
    <w:rsid w:val="00A6198A"/>
    <w:rsid w:val="00A67997"/>
    <w:rsid w:val="00A8011E"/>
    <w:rsid w:val="00A8012F"/>
    <w:rsid w:val="00A95CB2"/>
    <w:rsid w:val="00AA7A23"/>
    <w:rsid w:val="00AB1074"/>
    <w:rsid w:val="00AB7D6A"/>
    <w:rsid w:val="00AF44A4"/>
    <w:rsid w:val="00B12DD1"/>
    <w:rsid w:val="00B24793"/>
    <w:rsid w:val="00B25838"/>
    <w:rsid w:val="00B35BDE"/>
    <w:rsid w:val="00B55532"/>
    <w:rsid w:val="00B7723C"/>
    <w:rsid w:val="00B87F4B"/>
    <w:rsid w:val="00B93AE1"/>
    <w:rsid w:val="00B95878"/>
    <w:rsid w:val="00BC2A88"/>
    <w:rsid w:val="00BF7B87"/>
    <w:rsid w:val="00C26017"/>
    <w:rsid w:val="00C350CB"/>
    <w:rsid w:val="00C41445"/>
    <w:rsid w:val="00C43216"/>
    <w:rsid w:val="00C70647"/>
    <w:rsid w:val="00C847EB"/>
    <w:rsid w:val="00C97EC2"/>
    <w:rsid w:val="00CE0691"/>
    <w:rsid w:val="00D00EAB"/>
    <w:rsid w:val="00D04417"/>
    <w:rsid w:val="00D04BEB"/>
    <w:rsid w:val="00D334A0"/>
    <w:rsid w:val="00D35358"/>
    <w:rsid w:val="00D44AA4"/>
    <w:rsid w:val="00D4713F"/>
    <w:rsid w:val="00D603FF"/>
    <w:rsid w:val="00D60A5B"/>
    <w:rsid w:val="00D76570"/>
    <w:rsid w:val="00D76C0B"/>
    <w:rsid w:val="00D920D2"/>
    <w:rsid w:val="00D96DA0"/>
    <w:rsid w:val="00DC6BB6"/>
    <w:rsid w:val="00DE7A29"/>
    <w:rsid w:val="00E1061E"/>
    <w:rsid w:val="00E1686D"/>
    <w:rsid w:val="00E26145"/>
    <w:rsid w:val="00E46098"/>
    <w:rsid w:val="00E53302"/>
    <w:rsid w:val="00E667C6"/>
    <w:rsid w:val="00E87F9A"/>
    <w:rsid w:val="00EC68A2"/>
    <w:rsid w:val="00EE6E11"/>
    <w:rsid w:val="00F30C04"/>
    <w:rsid w:val="00F31B52"/>
    <w:rsid w:val="00F326F0"/>
    <w:rsid w:val="00F34565"/>
    <w:rsid w:val="00F425A8"/>
    <w:rsid w:val="00F42931"/>
    <w:rsid w:val="00F53B9E"/>
    <w:rsid w:val="00F71DDA"/>
    <w:rsid w:val="00F733FE"/>
    <w:rsid w:val="00FA6F3E"/>
    <w:rsid w:val="00FC0888"/>
    <w:rsid w:val="00FC7632"/>
    <w:rsid w:val="00FD0203"/>
    <w:rsid w:val="00F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532CE7-D566-4B63-A1F4-307030E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456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4565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34565"/>
    <w:rPr>
      <w:rFonts w:cs="Times New Roman"/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C26017"/>
    <w:pPr>
      <w:spacing w:after="0" w:line="240" w:lineRule="auto"/>
    </w:pPr>
    <w:rPr>
      <w:rFonts w:eastAsia="Times New Roman" w:cs="Mangal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C26017"/>
    <w:rPr>
      <w:rFonts w:eastAsia="Times New Roman"/>
      <w:lang w:eastAsia="en-US"/>
    </w:rPr>
  </w:style>
  <w:style w:type="paragraph" w:customStyle="1" w:styleId="IJTextonormal">
    <w:name w:val="IJ Texto normal"/>
    <w:basedOn w:val="Normal"/>
    <w:link w:val="IJTextonormalCar"/>
    <w:autoRedefine/>
    <w:qFormat/>
    <w:rsid w:val="00C26017"/>
    <w:pPr>
      <w:spacing w:after="0" w:line="360" w:lineRule="auto"/>
      <w:jc w:val="both"/>
    </w:pPr>
    <w:rPr>
      <w:rFonts w:ascii="Arial" w:eastAsia="Times New Roman" w:hAnsi="Arial" w:cs="Arial"/>
      <w:bCs/>
      <w:iCs/>
      <w:sz w:val="20"/>
      <w:szCs w:val="20"/>
      <w:lang w:val="es-ES_tradnl" w:eastAsia="ar-SA"/>
    </w:rPr>
  </w:style>
  <w:style w:type="character" w:customStyle="1" w:styleId="IJTextonormalCar">
    <w:name w:val="IJ Texto normal Car"/>
    <w:link w:val="IJTextonormal"/>
    <w:locked/>
    <w:rsid w:val="00C26017"/>
    <w:rPr>
      <w:rFonts w:ascii="Arial" w:eastAsia="Times New Roman" w:hAnsi="Arial"/>
      <w:sz w:val="20"/>
      <w:lang w:val="es-ES_tradnl" w:eastAsia="ar-SA" w:bidi="ar-SA"/>
    </w:rPr>
  </w:style>
  <w:style w:type="paragraph" w:styleId="Prrafodelista">
    <w:name w:val="List Paragraph"/>
    <w:basedOn w:val="Normal"/>
    <w:uiPriority w:val="34"/>
    <w:qFormat/>
    <w:rsid w:val="00D044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6FF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6FF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7E6FFB"/>
    <w:rPr>
      <w:vertAlign w:val="superscript"/>
    </w:rPr>
  </w:style>
  <w:style w:type="character" w:styleId="Hipervnculovisitado">
    <w:name w:val="FollowedHyperlink"/>
    <w:basedOn w:val="Fuentedeprrafopredeter"/>
    <w:rsid w:val="00B2479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7D585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D5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5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D5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D58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7D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D58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5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hibs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Judith Monmany Escrigas</cp:lastModifiedBy>
  <cp:revision>5</cp:revision>
  <dcterms:created xsi:type="dcterms:W3CDTF">2018-04-17T10:34:00Z</dcterms:created>
  <dcterms:modified xsi:type="dcterms:W3CDTF">2018-04-18T11:30:00Z</dcterms:modified>
</cp:coreProperties>
</file>