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0CD3" w14:textId="77777777" w:rsidR="00625423" w:rsidRDefault="00625423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</w:p>
    <w:p w14:paraId="20D3C103" w14:textId="14B2E907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4C3514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febrero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76A05911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1DCA0F37" w14:textId="75DCFEE2" w:rsidR="00E33230" w:rsidRDefault="00E33230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Febrero registra </w:t>
      </w:r>
      <w:r w:rsidR="002F7633" w:rsidRPr="002F763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241.389</w:t>
      </w:r>
      <w:r w:rsidR="002F763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puestos de trabajo, un </w:t>
      </w:r>
      <w:r w:rsidR="002F763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25</w:t>
      </w:r>
      <w:r w:rsidR="00902BB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,21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 más respecto a 2017</w:t>
      </w:r>
    </w:p>
    <w:p w14:paraId="2AAB5D6B" w14:textId="77777777" w:rsidR="00EC26F0" w:rsidRPr="00780168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val="es-ES_tradnl" w:eastAsia="en-US"/>
        </w:rPr>
      </w:pPr>
    </w:p>
    <w:p w14:paraId="0B2B9F80" w14:textId="53B242A3" w:rsidR="002F3AEC" w:rsidRPr="00780168" w:rsidRDefault="002F3AEC" w:rsidP="002F3AE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En </w:t>
      </w:r>
      <w:r w:rsidR="0003689A"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el mes de </w:t>
      </w:r>
      <w:r w:rsidR="004C3514" w:rsidRPr="00780168">
        <w:rPr>
          <w:rFonts w:ascii="Arial" w:hAnsi="Arial" w:cs="Arial"/>
          <w:b/>
          <w:color w:val="27AAE1"/>
          <w:sz w:val="22"/>
          <w:lang w:val="es-ES_tradnl"/>
        </w:rPr>
        <w:t>febrero</w:t>
      </w: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, InfoJobs </w:t>
      </w:r>
      <w:r w:rsidR="00F17F51" w:rsidRPr="00780168">
        <w:rPr>
          <w:rFonts w:ascii="Arial" w:hAnsi="Arial" w:cs="Arial"/>
          <w:b/>
          <w:color w:val="27AAE1"/>
          <w:sz w:val="22"/>
          <w:lang w:val="es-ES_tradnl"/>
        </w:rPr>
        <w:t>recogió</w:t>
      </w: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 un total de </w:t>
      </w:r>
      <w:r w:rsidR="00902BBC">
        <w:rPr>
          <w:rFonts w:ascii="Arial" w:hAnsi="Arial" w:cs="Arial"/>
          <w:b/>
          <w:color w:val="27AAE1"/>
          <w:sz w:val="22"/>
          <w:lang w:val="es-ES_tradnl"/>
        </w:rPr>
        <w:t>241.389</w:t>
      </w: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 vacantes en España, </w:t>
      </w:r>
      <w:r w:rsidR="00902BBC">
        <w:rPr>
          <w:rFonts w:ascii="Arial" w:hAnsi="Arial" w:cs="Arial"/>
          <w:b/>
          <w:color w:val="27AAE1"/>
          <w:sz w:val="22"/>
          <w:lang w:val="es-ES_tradnl"/>
        </w:rPr>
        <w:t>48.600</w:t>
      </w: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03689A" w:rsidRPr="00780168">
        <w:rPr>
          <w:rFonts w:ascii="Arial" w:hAnsi="Arial" w:cs="Arial"/>
          <w:b/>
          <w:color w:val="27AAE1"/>
          <w:sz w:val="22"/>
          <w:lang w:val="es-ES_tradnl"/>
        </w:rPr>
        <w:t>ofertas de trabajo</w:t>
      </w: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 más que en el mismo período del año anterior</w:t>
      </w:r>
    </w:p>
    <w:p w14:paraId="2392B75F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0D6DAA0" w14:textId="1B7F9B05" w:rsidR="004C3514" w:rsidRPr="00780168" w:rsidRDefault="00286C46" w:rsidP="005C4E8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>L</w:t>
      </w:r>
      <w:r w:rsidR="00666E17" w:rsidRPr="00780168">
        <w:rPr>
          <w:rFonts w:ascii="Arial" w:hAnsi="Arial" w:cs="Arial"/>
          <w:b/>
          <w:color w:val="27AAE1"/>
          <w:sz w:val="22"/>
          <w:lang w:val="es-ES_tradnl"/>
        </w:rPr>
        <w:t>a</w:t>
      </w:r>
      <w:r w:rsidR="004C3514" w:rsidRPr="00780168">
        <w:rPr>
          <w:rFonts w:ascii="Arial" w:hAnsi="Arial" w:cs="Arial"/>
          <w:b/>
          <w:color w:val="27AAE1"/>
          <w:sz w:val="22"/>
          <w:lang w:val="es-ES_tradnl"/>
        </w:rPr>
        <w:t>s</w:t>
      </w:r>
      <w:r w:rsidR="00666E17"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 modalidad contractual indefinida fue la más ofertada, representando el </w:t>
      </w:r>
      <w:r w:rsidR="009C2572">
        <w:rPr>
          <w:rFonts w:ascii="Arial" w:hAnsi="Arial" w:cs="Arial"/>
          <w:b/>
          <w:color w:val="27AAE1"/>
          <w:sz w:val="22"/>
          <w:lang w:val="es-ES_tradnl"/>
        </w:rPr>
        <w:t>27,7</w:t>
      </w:r>
      <w:r w:rsidR="00ED7FD2" w:rsidRPr="00780168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902BBC">
        <w:rPr>
          <w:rFonts w:ascii="Arial" w:hAnsi="Arial" w:cs="Arial"/>
          <w:b/>
          <w:color w:val="27AAE1"/>
          <w:sz w:val="22"/>
          <w:lang w:val="es-ES_tradnl"/>
        </w:rPr>
        <w:t xml:space="preserve">, con </w:t>
      </w:r>
      <w:r w:rsidR="009C2572">
        <w:rPr>
          <w:rFonts w:ascii="Arial" w:hAnsi="Arial" w:cs="Arial"/>
          <w:b/>
          <w:color w:val="27AAE1"/>
          <w:sz w:val="22"/>
          <w:lang w:val="es-ES_tradnl"/>
        </w:rPr>
        <w:t>más de 66.600</w:t>
      </w:r>
      <w:r w:rsidR="004C3514"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 puestos </w:t>
      </w:r>
    </w:p>
    <w:p w14:paraId="4084187E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4E918CBE" w14:textId="40DAAC51" w:rsidR="005C4E82" w:rsidRPr="00780168" w:rsidRDefault="005C4E82" w:rsidP="00902BBC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31EB2AF" w14:textId="201178F8" w:rsidR="000440CC" w:rsidRPr="00780168" w:rsidRDefault="000440CC" w:rsidP="0088170A">
      <w:pPr>
        <w:pStyle w:val="IJTextonormal"/>
      </w:pPr>
    </w:p>
    <w:p w14:paraId="3CB5AEED" w14:textId="1248F866" w:rsidR="00133C7B" w:rsidRDefault="009E5B68" w:rsidP="0088170A">
      <w:pPr>
        <w:pStyle w:val="IJTextonormal"/>
        <w:rPr>
          <w:color w:val="FF0000"/>
        </w:rPr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071A8B">
        <w:rPr>
          <w:b/>
        </w:rPr>
        <w:t>14</w:t>
      </w:r>
      <w:r w:rsidR="004C3514" w:rsidRPr="00780168">
        <w:rPr>
          <w:b/>
        </w:rPr>
        <w:t xml:space="preserve"> de marzo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</w:t>
      </w:r>
      <w:r w:rsidR="00047EC8" w:rsidRPr="00780168">
        <w:t>mensualmente</w:t>
      </w:r>
      <w:r w:rsidRPr="00780168">
        <w:t xml:space="preserve"> el estado de la ofe</w:t>
      </w:r>
      <w:r w:rsidR="004C3AA7" w:rsidRPr="00780168">
        <w:t xml:space="preserve">rta y la demanda de empleo </w:t>
      </w:r>
      <w:r w:rsidR="00A804F0" w:rsidRPr="00780168">
        <w:t>para</w:t>
      </w:r>
      <w:r w:rsidRPr="00780168">
        <w:t xml:space="preserve"> </w:t>
      </w:r>
      <w:r w:rsidR="00F17F51" w:rsidRPr="00780168">
        <w:t>ofrecer información relativa a</w:t>
      </w:r>
      <w:r w:rsidR="003934F0" w:rsidRPr="00780168">
        <w:t xml:space="preserve"> </w:t>
      </w:r>
      <w:r w:rsidR="00ED0B5B" w:rsidRPr="00780168">
        <w:t xml:space="preserve">la evolución de los sectores laborales </w:t>
      </w:r>
      <w:r w:rsidR="00481D0B" w:rsidRPr="00780168">
        <w:t xml:space="preserve">en cuanto a número de vacantes </w:t>
      </w:r>
      <w:r w:rsidR="00ED0B5B" w:rsidRPr="00780168">
        <w:t xml:space="preserve">y </w:t>
      </w:r>
      <w:r w:rsidR="00F17F51" w:rsidRPr="00780168">
        <w:t xml:space="preserve">para revelar </w:t>
      </w:r>
      <w:r w:rsidR="003934F0" w:rsidRPr="00780168">
        <w:t>cuáles</w:t>
      </w:r>
      <w:r w:rsidRPr="00780168">
        <w:t xml:space="preserve"> son las mejores oportunidades para encontrar </w:t>
      </w:r>
      <w:r w:rsidR="00D52FFF" w:rsidRPr="00780168">
        <w:t>empleo</w:t>
      </w:r>
      <w:r w:rsidR="00F17F51" w:rsidRPr="00780168">
        <w:t xml:space="preserve"> en nuestro país</w:t>
      </w:r>
      <w:r w:rsidRPr="00780168">
        <w:t xml:space="preserve">. </w:t>
      </w:r>
      <w:r w:rsidR="006C63C2" w:rsidRPr="00780168">
        <w:t xml:space="preserve">En </w:t>
      </w:r>
      <w:r w:rsidR="00BB2CA2" w:rsidRPr="00133C7B">
        <w:t>febrero</w:t>
      </w:r>
      <w:r w:rsidRPr="00133C7B">
        <w:t xml:space="preserve">, </w:t>
      </w:r>
      <w:r w:rsidR="00A804F0" w:rsidRPr="00133C7B">
        <w:t>InfoJob</w:t>
      </w:r>
      <w:r w:rsidRPr="00133C7B">
        <w:t>s</w:t>
      </w:r>
      <w:r w:rsidR="00A804F0" w:rsidRPr="00133C7B">
        <w:t xml:space="preserve"> </w:t>
      </w:r>
      <w:r w:rsidR="003934F0" w:rsidRPr="00133C7B">
        <w:t>recogió</w:t>
      </w:r>
      <w:r w:rsidR="00A804F0" w:rsidRPr="00133C7B">
        <w:t xml:space="preserve"> </w:t>
      </w:r>
      <w:r w:rsidR="00B70200" w:rsidRPr="00133C7B">
        <w:t xml:space="preserve">un total de </w:t>
      </w:r>
      <w:r w:rsidR="00902BBC" w:rsidRPr="00133C7B">
        <w:t xml:space="preserve">241.389 ofertas de empleo, </w:t>
      </w:r>
      <w:r w:rsidR="00A804F0" w:rsidRPr="00133C7B">
        <w:t xml:space="preserve">lo que </w:t>
      </w:r>
      <w:r w:rsidR="00FE4388" w:rsidRPr="00133C7B">
        <w:t>supone</w:t>
      </w:r>
      <w:r w:rsidR="00A804F0" w:rsidRPr="00133C7B">
        <w:t xml:space="preserve"> </w:t>
      </w:r>
      <w:r w:rsidR="00BB2CA2" w:rsidRPr="00133C7B">
        <w:t>un</w:t>
      </w:r>
      <w:r w:rsidR="00133C7B" w:rsidRPr="00133C7B">
        <w:t xml:space="preserve"> aumento del 25,21%</w:t>
      </w:r>
      <w:r w:rsidR="00071A8B">
        <w:t xml:space="preserve"> con respecto al mismo mes de 2017.</w:t>
      </w:r>
    </w:p>
    <w:p w14:paraId="518A6D24" w14:textId="77777777" w:rsidR="00ED0B5B" w:rsidRPr="00780168" w:rsidRDefault="00ED0B5B" w:rsidP="0088170A">
      <w:pPr>
        <w:pStyle w:val="IJTextonormal"/>
      </w:pPr>
    </w:p>
    <w:p w14:paraId="36EA3559" w14:textId="2812F8CF" w:rsidR="000A124A" w:rsidRPr="00780168" w:rsidRDefault="000A124A" w:rsidP="000A124A">
      <w:pPr>
        <w:pStyle w:val="IJTextonormal"/>
        <w:rPr>
          <w:b/>
        </w:rPr>
      </w:pPr>
      <w:r w:rsidRPr="00780168">
        <w:rPr>
          <w:b/>
        </w:rPr>
        <w:t xml:space="preserve">Los puestos con </w:t>
      </w:r>
      <w:r w:rsidR="00F17F51" w:rsidRPr="00780168">
        <w:rPr>
          <w:b/>
        </w:rPr>
        <w:t>mejores oportunidades</w:t>
      </w:r>
      <w:r w:rsidRPr="00780168">
        <w:rPr>
          <w:b/>
        </w:rPr>
        <w:t xml:space="preserve"> </w:t>
      </w:r>
      <w:r w:rsidR="00F17F51" w:rsidRPr="00780168">
        <w:rPr>
          <w:b/>
        </w:rPr>
        <w:t>en España</w:t>
      </w:r>
    </w:p>
    <w:p w14:paraId="520D5586" w14:textId="77777777" w:rsidR="000A124A" w:rsidRPr="00780168" w:rsidRDefault="000A124A" w:rsidP="000A124A">
      <w:pPr>
        <w:pStyle w:val="IJTextonormal"/>
        <w:rPr>
          <w:b/>
        </w:rPr>
      </w:pPr>
    </w:p>
    <w:p w14:paraId="2A142F2D" w14:textId="09D07E91" w:rsidR="00133C7B" w:rsidRDefault="00071A8B" w:rsidP="000A124A">
      <w:pPr>
        <w:pStyle w:val="IJTextonormal"/>
      </w:pPr>
      <w:r>
        <w:t xml:space="preserve">Los sectores de </w:t>
      </w:r>
      <w:r w:rsidR="00645FDB" w:rsidRPr="009C2572">
        <w:rPr>
          <w:i/>
        </w:rPr>
        <w:t>C</w:t>
      </w:r>
      <w:r w:rsidRPr="009C2572">
        <w:rPr>
          <w:i/>
        </w:rPr>
        <w:t xml:space="preserve">omercial y </w:t>
      </w:r>
      <w:r w:rsidR="00645FDB" w:rsidRPr="009C2572">
        <w:rPr>
          <w:i/>
        </w:rPr>
        <w:t>V</w:t>
      </w:r>
      <w:r w:rsidRPr="009C2572">
        <w:rPr>
          <w:i/>
        </w:rPr>
        <w:t>entas</w:t>
      </w:r>
      <w:r w:rsidR="009C2572">
        <w:t>,</w:t>
      </w:r>
      <w:r>
        <w:t xml:space="preserve"> </w:t>
      </w:r>
      <w:r w:rsidR="009C2572" w:rsidRPr="009C2572">
        <w:rPr>
          <w:i/>
        </w:rPr>
        <w:t>Informática y Telecomunicaciones</w:t>
      </w:r>
      <w:r w:rsidR="009C2572">
        <w:t xml:space="preserve"> </w:t>
      </w:r>
      <w:r>
        <w:t xml:space="preserve">y </w:t>
      </w:r>
      <w:r w:rsidRPr="009C2572">
        <w:rPr>
          <w:i/>
        </w:rPr>
        <w:t>Atención al cliente</w:t>
      </w:r>
      <w:r>
        <w:t xml:space="preserve"> son los que más puestos de trabajo canalizan a través de InfoJobs y en febrero representan un </w:t>
      </w:r>
      <w:r w:rsidR="009C2572">
        <w:t xml:space="preserve">51,6% del total. </w:t>
      </w:r>
      <w:r>
        <w:t xml:space="preserve"> </w:t>
      </w:r>
    </w:p>
    <w:p w14:paraId="1038758C" w14:textId="77777777" w:rsidR="009C2572" w:rsidRDefault="009C2572" w:rsidP="000A124A">
      <w:pPr>
        <w:pStyle w:val="IJTextonormal"/>
      </w:pPr>
    </w:p>
    <w:p w14:paraId="2DD72B5A" w14:textId="2BA54A81" w:rsidR="00645FDB" w:rsidRDefault="00645FDB" w:rsidP="009C2572">
      <w:pPr>
        <w:pStyle w:val="IJTextonormal"/>
      </w:pPr>
      <w:r>
        <w:t xml:space="preserve">Este mes se vuelve a confirmar las buenas oportunidades que ofrece el </w:t>
      </w:r>
      <w:r w:rsidRPr="009C2572">
        <w:rPr>
          <w:b/>
        </w:rPr>
        <w:t>sector de TI</w:t>
      </w:r>
      <w:r>
        <w:t xml:space="preserve">, que en febrero representó el </w:t>
      </w:r>
      <w:r w:rsidR="009C2572">
        <w:t>14</w:t>
      </w:r>
      <w:r>
        <w:t xml:space="preserve">% de las ofertas. Además, los puestos en esta categoría siguen siendo de baja competencia por vacante y ofrecen un nivel salarial por encima de la media.  </w:t>
      </w:r>
    </w:p>
    <w:p w14:paraId="7F27EF95" w14:textId="77777777" w:rsidR="009C2572" w:rsidRPr="009C2572" w:rsidRDefault="009C2572" w:rsidP="009C2572">
      <w:pPr>
        <w:pStyle w:val="IJTextonormal"/>
      </w:pPr>
    </w:p>
    <w:p w14:paraId="7BDFE584" w14:textId="5E1277C0" w:rsidR="002F7633" w:rsidRDefault="009C2572" w:rsidP="000A124A">
      <w:pPr>
        <w:pStyle w:val="IJTextonormal"/>
      </w:pPr>
      <w:r w:rsidRPr="00C64050">
        <w:t xml:space="preserve">Por su parte, </w:t>
      </w:r>
      <w:r w:rsidRPr="00FD7B28">
        <w:rPr>
          <w:i/>
        </w:rPr>
        <w:t>Comercial</w:t>
      </w:r>
      <w:r w:rsidRPr="00C874FE">
        <w:rPr>
          <w:i/>
        </w:rPr>
        <w:t xml:space="preserve"> y ventas</w:t>
      </w:r>
      <w:r>
        <w:t xml:space="preserve"> concentró</w:t>
      </w:r>
      <w:r w:rsidRPr="00C874FE">
        <w:t xml:space="preserve"> el </w:t>
      </w:r>
      <w:r>
        <w:t>24,2% y</w:t>
      </w:r>
      <w:r w:rsidRPr="00C874FE">
        <w:t xml:space="preserve"> </w:t>
      </w:r>
      <w:r w:rsidRPr="00C874FE">
        <w:rPr>
          <w:i/>
        </w:rPr>
        <w:t>Atención a clientes,</w:t>
      </w:r>
      <w:r>
        <w:t xml:space="preserve"> </w:t>
      </w:r>
      <w:r w:rsidRPr="00C874FE">
        <w:t xml:space="preserve">el </w:t>
      </w:r>
      <w:r>
        <w:t>13,4% de las vacantes.</w:t>
      </w:r>
    </w:p>
    <w:p w14:paraId="3A1F143A" w14:textId="77777777" w:rsidR="009C2572" w:rsidRDefault="009C2572" w:rsidP="000A124A">
      <w:pPr>
        <w:pStyle w:val="IJTextonormal"/>
      </w:pPr>
    </w:p>
    <w:p w14:paraId="0588DA38" w14:textId="77777777" w:rsidR="009C2572" w:rsidRDefault="009C2572" w:rsidP="000A124A">
      <w:pPr>
        <w:pStyle w:val="IJTextonormal"/>
      </w:pPr>
    </w:p>
    <w:p w14:paraId="6E28452C" w14:textId="77777777" w:rsidR="009C2572" w:rsidRDefault="009C2572" w:rsidP="000A124A">
      <w:pPr>
        <w:pStyle w:val="IJTextonormal"/>
      </w:pPr>
    </w:p>
    <w:p w14:paraId="19F296FB" w14:textId="77777777" w:rsidR="009C2572" w:rsidRPr="00780168" w:rsidRDefault="009C2572" w:rsidP="000A124A">
      <w:pPr>
        <w:pStyle w:val="IJTextonormal"/>
      </w:pPr>
    </w:p>
    <w:p w14:paraId="6E60D5B2" w14:textId="56A68D25" w:rsidR="000A124A" w:rsidRPr="00780168" w:rsidRDefault="00A53884" w:rsidP="000A124A">
      <w:pPr>
        <w:pStyle w:val="IJTextonormal"/>
        <w:rPr>
          <w:b/>
        </w:rPr>
      </w:pPr>
      <w:r w:rsidRPr="00780168">
        <w:rPr>
          <w:b/>
        </w:rPr>
        <w:lastRenderedPageBreak/>
        <w:t>La modalidad contractual</w:t>
      </w:r>
      <w:r w:rsidR="00993D10" w:rsidRPr="00780168">
        <w:rPr>
          <w:b/>
        </w:rPr>
        <w:t xml:space="preserve"> indefinida</w:t>
      </w:r>
      <w:r w:rsidRPr="00780168">
        <w:rPr>
          <w:b/>
        </w:rPr>
        <w:t xml:space="preserve"> ha sido la más ofertada </w:t>
      </w:r>
    </w:p>
    <w:p w14:paraId="13F2FBBD" w14:textId="77777777" w:rsidR="000A124A" w:rsidRPr="00780168" w:rsidRDefault="000A124A" w:rsidP="000A124A">
      <w:pPr>
        <w:pStyle w:val="IJTextonormal"/>
        <w:rPr>
          <w:b/>
        </w:rPr>
      </w:pPr>
    </w:p>
    <w:p w14:paraId="1392B6DF" w14:textId="7FE98ABC" w:rsidR="00A53884" w:rsidRPr="00780168" w:rsidRDefault="000A124A" w:rsidP="000A124A">
      <w:pPr>
        <w:pStyle w:val="IJTextonormal"/>
      </w:pPr>
      <w:r w:rsidRPr="00780168">
        <w:t>En lo que respecta al tipo de contrato</w:t>
      </w:r>
      <w:r w:rsidR="00B84F80" w:rsidRPr="00780168">
        <w:t xml:space="preserve"> ofertado</w:t>
      </w:r>
      <w:r w:rsidRPr="00780168">
        <w:t>, InfoJobs recogió durante el mes de</w:t>
      </w:r>
      <w:r w:rsidR="00780168">
        <w:t xml:space="preserve"> febrero</w:t>
      </w:r>
      <w:r w:rsidRPr="00780168">
        <w:t xml:space="preserve"> </w:t>
      </w:r>
      <w:r w:rsidR="009C2572">
        <w:t>más de</w:t>
      </w:r>
      <w:r w:rsidRPr="00780168">
        <w:t xml:space="preserve"> </w:t>
      </w:r>
      <w:r w:rsidR="009C2572">
        <w:rPr>
          <w:b/>
        </w:rPr>
        <w:t>66.600</w:t>
      </w:r>
      <w:r w:rsidR="00A53884" w:rsidRPr="00780168">
        <w:rPr>
          <w:b/>
        </w:rPr>
        <w:t xml:space="preserve"> vacantes de contratación indefinida</w:t>
      </w:r>
      <w:r w:rsidR="00A53884" w:rsidRPr="00780168">
        <w:t xml:space="preserve">. Esta modalidad es la más frecuente en InfoJobs, representando un </w:t>
      </w:r>
      <w:r w:rsidR="009C2572">
        <w:rPr>
          <w:b/>
        </w:rPr>
        <w:t>27,7</w:t>
      </w:r>
      <w:r w:rsidR="00A53884" w:rsidRPr="00780168">
        <w:rPr>
          <w:b/>
        </w:rPr>
        <w:t>% del total de vacantes publicadas</w:t>
      </w:r>
      <w:r w:rsidR="00A53884" w:rsidRPr="00780168">
        <w:t xml:space="preserve"> </w:t>
      </w:r>
    </w:p>
    <w:p w14:paraId="60FC1C82" w14:textId="77777777" w:rsidR="000A124A" w:rsidRPr="00780168" w:rsidRDefault="000A124A" w:rsidP="000A124A">
      <w:pPr>
        <w:pStyle w:val="IJTextonormal"/>
      </w:pPr>
    </w:p>
    <w:p w14:paraId="5CEE341B" w14:textId="6F162702" w:rsidR="00A53884" w:rsidRPr="00780168" w:rsidRDefault="000A124A" w:rsidP="000A124A">
      <w:pPr>
        <w:pStyle w:val="IJTextonormal"/>
      </w:pPr>
      <w:r w:rsidRPr="00780168">
        <w:t>Por su parte,</w:t>
      </w:r>
      <w:r w:rsidR="00A53884" w:rsidRPr="00780168">
        <w:t xml:space="preserve"> los contratos de duración</w:t>
      </w:r>
      <w:r w:rsidR="00133C7B">
        <w:t xml:space="preserve"> determinada representaron el 18,7</w:t>
      </w:r>
      <w:r w:rsidR="00A53884" w:rsidRPr="00780168">
        <w:t>% del total de las ofertas (</w:t>
      </w:r>
      <w:r w:rsidR="00A53CBF">
        <w:t>cerca de 45.000</w:t>
      </w:r>
      <w:r w:rsidR="00A53884" w:rsidRPr="00780168">
        <w:t xml:space="preserve"> puestos</w:t>
      </w:r>
      <w:r w:rsidR="00133C7B">
        <w:t xml:space="preserve"> de trabajo); mientras que el 12,5</w:t>
      </w:r>
      <w:r w:rsidR="00A53884" w:rsidRPr="00780168">
        <w:t xml:space="preserve">% correspondía a otras modalidades contractuales, con algo más de 30.000 puestos de trabajo. </w:t>
      </w:r>
    </w:p>
    <w:p w14:paraId="6E57ABD8" w14:textId="1446139B" w:rsidR="000A124A" w:rsidRPr="00780168" w:rsidRDefault="000A124A" w:rsidP="000A124A">
      <w:pPr>
        <w:pStyle w:val="IJTextonormal"/>
      </w:pPr>
    </w:p>
    <w:p w14:paraId="5F6AD7DB" w14:textId="462A491F" w:rsidR="00A53884" w:rsidRPr="00780168" w:rsidRDefault="000A124A" w:rsidP="000A124A">
      <w:pPr>
        <w:pStyle w:val="IJTextonormal"/>
      </w:pPr>
      <w:r w:rsidRPr="00780168">
        <w:t xml:space="preserve">En cuanto al </w:t>
      </w:r>
      <w:r w:rsidRPr="00780168">
        <w:rPr>
          <w:b/>
        </w:rPr>
        <w:t>tipo de jornada</w:t>
      </w:r>
      <w:r w:rsidRPr="00780168">
        <w:t xml:space="preserve"> a realizar, entre los puestos de trabajo </w:t>
      </w:r>
      <w:r w:rsidR="00452FA8" w:rsidRPr="00780168">
        <w:t>ofertados</w:t>
      </w:r>
      <w:r w:rsidRPr="00780168">
        <w:t xml:space="preserve"> en </w:t>
      </w:r>
      <w:r w:rsidR="00780168">
        <w:t xml:space="preserve">febrero </w:t>
      </w:r>
      <w:r w:rsidRPr="00780168">
        <w:t>destac</w:t>
      </w:r>
      <w:r w:rsidR="00547ED2" w:rsidRPr="00780168">
        <w:t>ó</w:t>
      </w:r>
      <w:r w:rsidRPr="00780168">
        <w:t xml:space="preserve"> el peso de la </w:t>
      </w:r>
      <w:r w:rsidRPr="00780168">
        <w:rPr>
          <w:b/>
        </w:rPr>
        <w:t>jornada a tiempo completo</w:t>
      </w:r>
      <w:r w:rsidRPr="00780168">
        <w:t xml:space="preserve">, que </w:t>
      </w:r>
      <w:r w:rsidRPr="00780168">
        <w:rPr>
          <w:b/>
        </w:rPr>
        <w:t xml:space="preserve">representó el </w:t>
      </w:r>
      <w:r w:rsidR="00133C7B">
        <w:rPr>
          <w:b/>
        </w:rPr>
        <w:t>60,8</w:t>
      </w:r>
      <w:r w:rsidRPr="00780168">
        <w:rPr>
          <w:b/>
        </w:rPr>
        <w:t>%</w:t>
      </w:r>
      <w:r w:rsidRPr="00780168">
        <w:t xml:space="preserve"> </w:t>
      </w:r>
      <w:r w:rsidR="00A53884" w:rsidRPr="00780168">
        <w:t xml:space="preserve">del total de </w:t>
      </w:r>
      <w:r w:rsidR="00993D10" w:rsidRPr="00780168">
        <w:t>vacantes publicadas en InfoJobs. Al mismo tiempo, las vacantes para empleos a tiem</w:t>
      </w:r>
      <w:r w:rsidR="00133C7B">
        <w:t>po parcial representaron el 20,7</w:t>
      </w:r>
      <w:r w:rsidR="00993D10" w:rsidRPr="00780168">
        <w:t xml:space="preserve">% y solo el </w:t>
      </w:r>
      <w:r w:rsidR="00133C7B">
        <w:t>4,1</w:t>
      </w:r>
      <w:r w:rsidR="00993D10" w:rsidRPr="00780168">
        <w:t xml:space="preserve">% de los puestos de trabajo planteaba realizar una jornada intensiva. </w:t>
      </w:r>
    </w:p>
    <w:p w14:paraId="016DFB41" w14:textId="77777777" w:rsidR="000A124A" w:rsidRPr="00780168" w:rsidRDefault="000A124A" w:rsidP="000A124A">
      <w:pPr>
        <w:pStyle w:val="IJTextonormal"/>
      </w:pPr>
    </w:p>
    <w:p w14:paraId="734CA8C7" w14:textId="4E81A82C" w:rsidR="000A124A" w:rsidRPr="00780168" w:rsidRDefault="000A124A" w:rsidP="000A124A">
      <w:pPr>
        <w:pStyle w:val="IJTextonormal"/>
        <w:rPr>
          <w:b/>
        </w:rPr>
      </w:pPr>
      <w:r w:rsidRPr="00780168">
        <w:rPr>
          <w:b/>
        </w:rPr>
        <w:t xml:space="preserve">El </w:t>
      </w:r>
      <w:r w:rsidR="00A73EFB" w:rsidRPr="00780168">
        <w:rPr>
          <w:b/>
        </w:rPr>
        <w:t>39</w:t>
      </w:r>
      <w:r w:rsidR="00993D10" w:rsidRPr="00780168">
        <w:rPr>
          <w:b/>
        </w:rPr>
        <w:t>,6</w:t>
      </w:r>
      <w:r w:rsidRPr="00780168">
        <w:rPr>
          <w:b/>
        </w:rPr>
        <w:t xml:space="preserve">% de los candidatos poseen estudios universitarios </w:t>
      </w:r>
    </w:p>
    <w:p w14:paraId="5EF3D506" w14:textId="77777777" w:rsidR="000A124A" w:rsidRPr="00780168" w:rsidRDefault="000A124A" w:rsidP="000A124A">
      <w:pPr>
        <w:pStyle w:val="IJTextonormal"/>
        <w:rPr>
          <w:b/>
          <w:lang w:val="es-ES"/>
        </w:rPr>
      </w:pPr>
    </w:p>
    <w:p w14:paraId="14CDD6D2" w14:textId="0565756D" w:rsidR="00993D10" w:rsidRPr="00780168" w:rsidRDefault="00547ED2" w:rsidP="00547ED2">
      <w:pPr>
        <w:pStyle w:val="IJTextonormal"/>
      </w:pPr>
      <w:r w:rsidRPr="00780168">
        <w:t xml:space="preserve">Un total de </w:t>
      </w:r>
      <w:r w:rsidR="00993D10" w:rsidRPr="00780168">
        <w:rPr>
          <w:b/>
        </w:rPr>
        <w:t xml:space="preserve">1.056.284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Pr="00780168">
        <w:t>apuntaron</w:t>
      </w:r>
      <w:r w:rsidR="000A124A" w:rsidRPr="00780168">
        <w:t xml:space="preserve"> a las ofertas de trabajo canalizadas a través de InfoJobs en el mes de </w:t>
      </w:r>
      <w:r w:rsidR="00780168">
        <w:t>febrero</w:t>
      </w:r>
      <w:r w:rsidR="000A124A" w:rsidRPr="00780168">
        <w:t>.</w:t>
      </w:r>
      <w:r w:rsidR="00993D10" w:rsidRPr="00780168">
        <w:t xml:space="preserve"> </w:t>
      </w:r>
      <w:r w:rsidRPr="00780168">
        <w:t>Sobre el perfil de dichos candidatos, d</w:t>
      </w:r>
      <w:r w:rsidR="000A124A" w:rsidRPr="00780168">
        <w:t xml:space="preserve">el total, el </w:t>
      </w:r>
      <w:r w:rsidR="00993D10" w:rsidRPr="00780168">
        <w:rPr>
          <w:b/>
        </w:rPr>
        <w:t>39,6</w:t>
      </w:r>
      <w:r w:rsidR="000A124A" w:rsidRPr="00780168">
        <w:rPr>
          <w:b/>
        </w:rPr>
        <w:t>%</w:t>
      </w:r>
      <w:r w:rsidR="000A124A" w:rsidRPr="00780168">
        <w:t xml:space="preserve"> </w:t>
      </w:r>
      <w:r w:rsidRPr="00780168">
        <w:t>afirmaba tener</w:t>
      </w:r>
      <w:r w:rsidR="000A124A" w:rsidRPr="00780168">
        <w:t xml:space="preserve"> </w:t>
      </w:r>
      <w:r w:rsidR="000A124A" w:rsidRPr="00780168">
        <w:rPr>
          <w:b/>
        </w:rPr>
        <w:t>estudios universitarios</w:t>
      </w:r>
      <w:r w:rsidR="000A124A" w:rsidRPr="00780168">
        <w:t xml:space="preserve"> y el 27</w:t>
      </w:r>
      <w:r w:rsidR="00993D10" w:rsidRPr="00780168">
        <w:t>,3</w:t>
      </w:r>
      <w:r w:rsidR="000A124A" w:rsidRPr="00780168">
        <w:t xml:space="preserve">% indicaba poseer un ciclo formativo. </w:t>
      </w:r>
    </w:p>
    <w:p w14:paraId="01E1D6F8" w14:textId="77777777" w:rsidR="00993D10" w:rsidRPr="00780168" w:rsidRDefault="00993D10" w:rsidP="00547ED2">
      <w:pPr>
        <w:pStyle w:val="IJTextonormal"/>
      </w:pPr>
    </w:p>
    <w:p w14:paraId="61D3CFD0" w14:textId="46A87822" w:rsidR="00993D10" w:rsidRPr="00780168" w:rsidRDefault="00547ED2" w:rsidP="00547ED2">
      <w:pPr>
        <w:pStyle w:val="IJTextonormal"/>
      </w:pPr>
      <w:r w:rsidRPr="00780168">
        <w:t xml:space="preserve">En relación con el nivel laboral de los candidatos, </w:t>
      </w:r>
      <w:r w:rsidR="00993D10" w:rsidRPr="00780168">
        <w:t xml:space="preserve">se observa que el 59,6% de los candidatos inscritos en febrero ocupa o trabajaba en posiciones de empleado, un total de 611.059 personas. Mientras el 9,8% de los candidatos era </w:t>
      </w:r>
      <w:r w:rsidR="00993D10" w:rsidRPr="00780168">
        <w:rPr>
          <w:i/>
        </w:rPr>
        <w:t>Especialista</w:t>
      </w:r>
      <w:r w:rsidR="00993D10" w:rsidRPr="00780168">
        <w:t xml:space="preserve"> y el 8% ocupaba un cargo de </w:t>
      </w:r>
      <w:r w:rsidR="00993D10" w:rsidRPr="00780168">
        <w:rPr>
          <w:i/>
        </w:rPr>
        <w:t>Mando Intermedio</w:t>
      </w:r>
      <w:r w:rsidR="00993D10" w:rsidRPr="00780168">
        <w:t xml:space="preserve">. </w:t>
      </w:r>
    </w:p>
    <w:p w14:paraId="51BD9EBF" w14:textId="77777777" w:rsidR="000A124A" w:rsidRPr="00780168" w:rsidRDefault="000A124A" w:rsidP="000A124A">
      <w:pPr>
        <w:pStyle w:val="IJTextonormal"/>
      </w:pPr>
    </w:p>
    <w:p w14:paraId="727FDB1A" w14:textId="3B40C7BE" w:rsidR="000A124A" w:rsidRPr="00780168" w:rsidRDefault="00547ED2" w:rsidP="000A124A">
      <w:pPr>
        <w:pStyle w:val="IJTextonormal"/>
      </w:pPr>
      <w:r w:rsidRPr="00780168">
        <w:t>E</w:t>
      </w:r>
      <w:r w:rsidR="000A124A" w:rsidRPr="00780168">
        <w:t xml:space="preserve">n </w:t>
      </w:r>
      <w:r w:rsidRPr="00780168">
        <w:t xml:space="preserve">lo que </w:t>
      </w:r>
      <w:r w:rsidR="000A124A" w:rsidRPr="00780168">
        <w:t>a las preferencias de dichos candidatos</w:t>
      </w:r>
      <w:r w:rsidRPr="00780168">
        <w:t xml:space="preserve"> se refiere</w:t>
      </w:r>
      <w:r w:rsidR="000A124A" w:rsidRPr="00780168">
        <w:t xml:space="preserve">, en </w:t>
      </w:r>
      <w:r w:rsidR="000452CB" w:rsidRPr="00780168">
        <w:t>febrero,</w:t>
      </w:r>
      <w:r w:rsidR="000A124A" w:rsidRPr="00780168">
        <w:t xml:space="preserve"> el </w:t>
      </w:r>
      <w:r w:rsidR="000452CB" w:rsidRPr="00780168">
        <w:t>77,8</w:t>
      </w:r>
      <w:r w:rsidR="000A124A" w:rsidRPr="00780168">
        <w:t xml:space="preserve">% de los candidatos inscritos en las ofertas de InfoJobs manifestaba preferir un contrato indefinido. En contraposición, sólo un </w:t>
      </w:r>
      <w:r w:rsidR="000452CB" w:rsidRPr="00780168">
        <w:t>19,7</w:t>
      </w:r>
      <w:r w:rsidR="000A124A" w:rsidRPr="00780168">
        <w:t xml:space="preserve">% de los usuarios </w:t>
      </w:r>
      <w:r w:rsidRPr="00780168">
        <w:t>buscaba contrato a tiempo parcial</w:t>
      </w:r>
      <w:r w:rsidR="000A124A" w:rsidRPr="00780168">
        <w:t>.</w:t>
      </w:r>
    </w:p>
    <w:p w14:paraId="2E056CDB" w14:textId="77777777" w:rsidR="000A124A" w:rsidRPr="00780168" w:rsidRDefault="000A124A" w:rsidP="000A124A">
      <w:pPr>
        <w:pStyle w:val="IJTextonormal"/>
      </w:pPr>
    </w:p>
    <w:p w14:paraId="212DE381" w14:textId="0A76EC6B" w:rsidR="000A124A" w:rsidRPr="00780168" w:rsidRDefault="00547ED2" w:rsidP="000A124A">
      <w:pPr>
        <w:pStyle w:val="IJTextonormal"/>
      </w:pPr>
      <w:r w:rsidRPr="00780168">
        <w:t>Si analizamos el</w:t>
      </w:r>
      <w:r w:rsidR="000A124A" w:rsidRPr="00780168">
        <w:t xml:space="preserve"> tipo de jornada laboral a realizar, </w:t>
      </w:r>
      <w:r w:rsidRPr="00780168">
        <w:t>la opción más elegida en</w:t>
      </w:r>
      <w:r w:rsidR="00D13BF2">
        <w:t xml:space="preserve"> febrero</w:t>
      </w:r>
      <w:r w:rsidRPr="00780168">
        <w:t xml:space="preserve"> ha sido la jornada completa, seleccionada por el </w:t>
      </w:r>
      <w:r w:rsidR="000452CB" w:rsidRPr="00780168">
        <w:t>36,3</w:t>
      </w:r>
      <w:r w:rsidRPr="00780168">
        <w:t xml:space="preserve">% de los inscritos a las ofertas de trabajo. El 12,5% de los candidatos </w:t>
      </w:r>
      <w:r w:rsidR="00ED7FD2" w:rsidRPr="00780168">
        <w:t>preferían</w:t>
      </w:r>
      <w:r w:rsidRPr="00780168">
        <w:t xml:space="preserve"> </w:t>
      </w:r>
      <w:r w:rsidR="00ED7FD2" w:rsidRPr="00780168">
        <w:t>l</w:t>
      </w:r>
      <w:r w:rsidRPr="00780168">
        <w:t>a jornada intensiva, en su mayoría intensiva de mañana (8%)</w:t>
      </w:r>
      <w:r w:rsidR="00ED7FD2" w:rsidRPr="00780168">
        <w:t>;</w:t>
      </w:r>
      <w:r w:rsidRPr="00780168">
        <w:t xml:space="preserve"> mientras que el </w:t>
      </w:r>
      <w:r w:rsidR="000452CB" w:rsidRPr="00780168">
        <w:t>8,7</w:t>
      </w:r>
      <w:r w:rsidRPr="00780168">
        <w:t xml:space="preserve">% restante </w:t>
      </w:r>
      <w:r w:rsidR="00ED7FD2" w:rsidRPr="00780168">
        <w:t>manifestaba su preferencia a</w:t>
      </w:r>
      <w:r w:rsidRPr="00780168">
        <w:t xml:space="preserve"> trabajar a tiempo parcial, principalmente en horario de mañana (4,3%).</w:t>
      </w:r>
    </w:p>
    <w:p w14:paraId="7B4C4D14" w14:textId="77777777" w:rsidR="004B2B49" w:rsidRDefault="004B2B49" w:rsidP="0088170A">
      <w:pPr>
        <w:pStyle w:val="IJTextonormal"/>
      </w:pPr>
    </w:p>
    <w:p w14:paraId="3FE37CE0" w14:textId="77777777" w:rsidR="00A53CBF" w:rsidRPr="00780168" w:rsidRDefault="00A53CBF" w:rsidP="0088170A">
      <w:pPr>
        <w:pStyle w:val="IJTextonormal"/>
      </w:pPr>
    </w:p>
    <w:p w14:paraId="2D834FE5" w14:textId="77777777" w:rsidR="00D2448C" w:rsidRDefault="00AF3DCB" w:rsidP="0088170A">
      <w:pPr>
        <w:pStyle w:val="IJTextonormal"/>
        <w:rPr>
          <w:b/>
        </w:rPr>
      </w:pPr>
      <w:r w:rsidRPr="00780168">
        <w:rPr>
          <w:b/>
        </w:rPr>
        <w:lastRenderedPageBreak/>
        <w:t>Cifras por Comunidades A</w:t>
      </w:r>
      <w:r w:rsidR="00D2448C" w:rsidRPr="00780168">
        <w:rPr>
          <w:b/>
        </w:rPr>
        <w:t>utónomas</w:t>
      </w:r>
    </w:p>
    <w:p w14:paraId="6FD892A2" w14:textId="77777777" w:rsidR="00CB5E32" w:rsidRPr="00780168" w:rsidRDefault="00CB5E32" w:rsidP="0088170A">
      <w:pPr>
        <w:pStyle w:val="IJTextonormal"/>
        <w:rPr>
          <w:b/>
        </w:rPr>
      </w:pPr>
    </w:p>
    <w:p w14:paraId="22B005A9" w14:textId="5A51DAC6" w:rsidR="008C51F3" w:rsidRPr="00FE09A3" w:rsidRDefault="00F2331D" w:rsidP="0088170A">
      <w:pPr>
        <w:pStyle w:val="IJTextonormal"/>
      </w:pPr>
      <w:r w:rsidRPr="00780168">
        <w:t xml:space="preserve">El 61% de los puestos ofertados a través de InfoJobs en febrero se concentraron en la </w:t>
      </w:r>
      <w:r w:rsidRPr="00780168">
        <w:rPr>
          <w:b/>
        </w:rPr>
        <w:t>Comunidad de Madrid</w:t>
      </w:r>
      <w:r w:rsidRPr="00780168">
        <w:t xml:space="preserve"> (</w:t>
      </w:r>
      <w:r w:rsidR="00BF7464" w:rsidRPr="00780168">
        <w:t>73.098</w:t>
      </w:r>
      <w:r w:rsidRPr="00780168">
        <w:t xml:space="preserve"> vacantes), en </w:t>
      </w:r>
      <w:r w:rsidRPr="00780168">
        <w:rPr>
          <w:b/>
        </w:rPr>
        <w:t>Cataluña</w:t>
      </w:r>
      <w:r w:rsidRPr="00780168">
        <w:t xml:space="preserve"> (</w:t>
      </w:r>
      <w:r w:rsidR="00BF7464" w:rsidRPr="00780168">
        <w:t>64.878</w:t>
      </w:r>
      <w:r w:rsidRPr="00780168">
        <w:t xml:space="preserve"> vacantes), y en </w:t>
      </w:r>
      <w:r w:rsidR="00BF7464" w:rsidRPr="00780168">
        <w:rPr>
          <w:b/>
        </w:rPr>
        <w:t xml:space="preserve">Andalucía </w:t>
      </w:r>
      <w:r w:rsidR="00BF7464" w:rsidRPr="00780168">
        <w:t>(23.866 vacantes).</w:t>
      </w:r>
      <w:r w:rsidR="001C37EE">
        <w:t xml:space="preserve"> </w:t>
      </w:r>
      <w:r w:rsidRPr="00780168">
        <w:t xml:space="preserve">Al mismo tiempo, si analizamos la variación interanual, las vacantes en </w:t>
      </w:r>
      <w:r w:rsidR="00BF7464" w:rsidRPr="00780168">
        <w:t xml:space="preserve">Canarias y Castilla La Mancha son las que han experimentado un mayor crecimiento interanual. </w:t>
      </w:r>
    </w:p>
    <w:p w14:paraId="138714C7" w14:textId="77777777" w:rsidR="00780168" w:rsidRDefault="00780168" w:rsidP="0088170A">
      <w:pPr>
        <w:pStyle w:val="IJTextonormal"/>
      </w:pPr>
    </w:p>
    <w:p w14:paraId="55D5D83E" w14:textId="77777777" w:rsidR="008C51F3" w:rsidRDefault="008C51F3" w:rsidP="0088170A">
      <w:pPr>
        <w:pStyle w:val="IJTextonormal"/>
      </w:pPr>
      <w:r>
        <w:t>Así han evolucionado los puestos de trabajo publicados en la totalidad de Comunidades Autónomas:</w:t>
      </w:r>
    </w:p>
    <w:p w14:paraId="07D5B70A" w14:textId="68B0C5D2" w:rsidR="00130A21" w:rsidRDefault="00130A21" w:rsidP="0088170A">
      <w:pPr>
        <w:pStyle w:val="IJTextonormal"/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400"/>
        <w:gridCol w:w="2400"/>
        <w:gridCol w:w="1260"/>
      </w:tblGrid>
      <w:tr w:rsidR="006520A7" w:rsidRPr="006520A7" w14:paraId="377504EE" w14:textId="77777777" w:rsidTr="006520A7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36D7A5" w14:textId="77777777" w:rsidR="006520A7" w:rsidRPr="006520A7" w:rsidRDefault="006520A7" w:rsidP="006520A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FBC290" w14:textId="4ECEAE5C" w:rsidR="006520A7" w:rsidRPr="006520A7" w:rsidRDefault="006520A7" w:rsidP="00D13BF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VACANTES </w:t>
            </w:r>
            <w:r w:rsidR="00D13BF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FEBRERO</w:t>
            </w: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'17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D63DE44" w14:textId="303156D5" w:rsidR="006520A7" w:rsidRPr="006520A7" w:rsidRDefault="006520A7" w:rsidP="00D13BF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VACANTES </w:t>
            </w:r>
            <w:r w:rsidR="00D13BF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FEBRERO</w:t>
            </w: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'18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5282E9" w14:textId="77777777" w:rsidR="006520A7" w:rsidRPr="006520A7" w:rsidRDefault="006520A7" w:rsidP="006520A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BF7464" w:rsidRPr="006520A7" w14:paraId="663117D4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E199" w14:textId="77777777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AD5" w14:textId="3DF3D967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15.200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0575" w14:textId="37F4F1A2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23.866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4FAA" w14:textId="1012206C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57,01%</w:t>
            </w:r>
          </w:p>
        </w:tc>
      </w:tr>
      <w:tr w:rsidR="00BF7464" w:rsidRPr="006520A7" w14:paraId="5A758921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0F83" w14:textId="77777777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D2DB" w14:textId="1F6C0203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4.907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F33A" w14:textId="4EE831E4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5.719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BF7A" w14:textId="67CC8215" w:rsidR="00BF7464" w:rsidRPr="006520A7" w:rsidRDefault="00BF7464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16,55%</w:t>
            </w:r>
          </w:p>
        </w:tc>
      </w:tr>
      <w:tr w:rsidR="00FE09A3" w:rsidRPr="006520A7" w14:paraId="51FC3201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A0B6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44B46" w14:textId="2485E7BF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2.460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87826" w14:textId="40185311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2.238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61ABA" w14:textId="0037945D" w:rsidR="00FE09A3" w:rsidRPr="006520A7" w:rsidRDefault="00FE09A3" w:rsidP="00FE09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-9,02%</w:t>
            </w:r>
          </w:p>
        </w:tc>
      </w:tr>
      <w:tr w:rsidR="00FE09A3" w:rsidRPr="006520A7" w14:paraId="013640FC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216F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A8DB2" w14:textId="6968BA93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3.244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AAE7F" w14:textId="71CA8166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4.752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506E4" w14:textId="00D32AC2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46,49%</w:t>
            </w:r>
          </w:p>
        </w:tc>
      </w:tr>
      <w:tr w:rsidR="00FE09A3" w:rsidRPr="006520A7" w14:paraId="487E4ABF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A318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89541" w14:textId="242DB25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6.723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2B32B" w14:textId="081F789E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8.738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064F8" w14:textId="3A63040A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29,97%</w:t>
            </w:r>
          </w:p>
        </w:tc>
      </w:tr>
      <w:tr w:rsidR="00FE09A3" w:rsidRPr="006520A7" w14:paraId="700AE1BB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5442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B3DC4" w14:textId="26BBFCB4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55.832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D8794" w14:textId="14DA4B4D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64.878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730DF" w14:textId="15878E82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16,20%</w:t>
            </w:r>
          </w:p>
        </w:tc>
      </w:tr>
      <w:tr w:rsidR="00FE09A3" w:rsidRPr="006520A7" w14:paraId="205F507D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B38C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F025C" w14:textId="542C45AF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A710B" w14:textId="417A30B4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F82F2" w14:textId="07AB32F9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150,59%</w:t>
            </w:r>
          </w:p>
        </w:tc>
      </w:tr>
      <w:tr w:rsidR="00FE09A3" w:rsidRPr="006520A7" w14:paraId="118094C2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8555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AD104" w14:textId="751C39FF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60.685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156B4" w14:textId="56E9E1A6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73.098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7FF78" w14:textId="65827A70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20,45%</w:t>
            </w:r>
          </w:p>
        </w:tc>
      </w:tr>
      <w:tr w:rsidR="00FE09A3" w:rsidRPr="006520A7" w14:paraId="5B2DC266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9B1D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669B2" w14:textId="52187FA1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1.545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1BA69" w14:textId="10E52C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1.955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94BCD" w14:textId="42E79710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26,54%</w:t>
            </w:r>
          </w:p>
        </w:tc>
      </w:tr>
      <w:tr w:rsidR="00FE09A3" w:rsidRPr="006520A7" w14:paraId="395F79B0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B579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9A472" w14:textId="387F626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12.086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679D1" w14:textId="09EECBBC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15.838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BF695" w14:textId="290A9542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31,04%</w:t>
            </w:r>
          </w:p>
        </w:tc>
      </w:tr>
      <w:tr w:rsidR="00FE09A3" w:rsidRPr="006520A7" w14:paraId="3EB2E481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1A53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A9D46" w14:textId="47915B3D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1.497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045F7" w14:textId="2E65FE2A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1.702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1621" w14:textId="19D46448" w:rsidR="00FE09A3" w:rsidRPr="006520A7" w:rsidRDefault="00FE09A3" w:rsidP="00FE09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13,69%</w:t>
            </w:r>
          </w:p>
        </w:tc>
      </w:tr>
      <w:tr w:rsidR="00FE09A3" w:rsidRPr="006520A7" w14:paraId="53ABF2DA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EDA5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DC968" w14:textId="5822BDCA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7.709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45501" w14:textId="47D7E0CC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9.902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DC001" w14:textId="3FD7D9F6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28,45%</w:t>
            </w:r>
          </w:p>
        </w:tc>
      </w:tr>
      <w:tr w:rsidR="00FE09A3" w:rsidRPr="006520A7" w14:paraId="00877925" w14:textId="77777777" w:rsidTr="00FE09A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8538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357A9" w14:textId="2C430BEE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4.155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6CF94" w14:textId="232D759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4.823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62AE0" w14:textId="2204EA50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16,08%</w:t>
            </w:r>
          </w:p>
        </w:tc>
      </w:tr>
      <w:tr w:rsidR="003322F2" w14:paraId="60229780" w14:textId="77777777" w:rsidTr="009D0D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F00EF" w14:textId="17F5157D" w:rsidR="003322F2" w:rsidRPr="006520A7" w:rsidRDefault="003322F2" w:rsidP="009D0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38C77" w14:textId="77777777" w:rsidR="003322F2" w:rsidRDefault="003322F2" w:rsidP="009D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0A18D" w14:textId="77777777" w:rsidR="003322F2" w:rsidRDefault="003322F2" w:rsidP="009D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736A" w14:textId="77777777" w:rsidR="003322F2" w:rsidRDefault="003322F2" w:rsidP="009D0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69,63%</w:t>
            </w:r>
          </w:p>
        </w:tc>
      </w:tr>
      <w:tr w:rsidR="00FE09A3" w:rsidRPr="006520A7" w14:paraId="7754415C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E64B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9DD1" w14:textId="1AB260A8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3B36" w14:textId="5E328B58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249C1" w14:textId="504A5092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36,80%</w:t>
            </w:r>
          </w:p>
        </w:tc>
      </w:tr>
      <w:tr w:rsidR="00FE09A3" w:rsidRPr="006520A7" w14:paraId="65061F2A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54DD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9899" w14:textId="38DEC83C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7.645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F83B" w14:textId="073E312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10.612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B052" w14:textId="589719DB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38,81%</w:t>
            </w:r>
          </w:p>
        </w:tc>
      </w:tr>
      <w:tr w:rsidR="00FE09A3" w:rsidRPr="006520A7" w14:paraId="20589CA6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853F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8672" w14:textId="07DEBBB1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2.759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A4F9" w14:textId="6F00DE41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AAF6" w14:textId="3DC6B50E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14,14%</w:t>
            </w:r>
          </w:p>
        </w:tc>
      </w:tr>
      <w:tr w:rsidR="00FE09A3" w:rsidRPr="006520A7" w14:paraId="67B12E1D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5AC2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7EC5" w14:textId="67AAF735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318D" w14:textId="70765FF2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9A82" w14:textId="5C53D08A" w:rsidR="00FE09A3" w:rsidRPr="006520A7" w:rsidRDefault="00FE09A3" w:rsidP="00FE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46,68%</w:t>
            </w:r>
          </w:p>
        </w:tc>
      </w:tr>
      <w:tr w:rsidR="00FE09A3" w:rsidRPr="006520A7" w14:paraId="7E34340B" w14:textId="77777777" w:rsidTr="00E27E3C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342F3EB" w14:textId="77777777" w:rsidR="00FE09A3" w:rsidRPr="006520A7" w:rsidRDefault="00FE09A3" w:rsidP="00FE09A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0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bottom"/>
            <w:hideMark/>
          </w:tcPr>
          <w:p w14:paraId="0A9428A2" w14:textId="5D2E182A" w:rsidR="00FE09A3" w:rsidRPr="006520A7" w:rsidRDefault="00FE09A3" w:rsidP="00FE09A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192.789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bottom"/>
            <w:hideMark/>
          </w:tcPr>
          <w:p w14:paraId="70E79369" w14:textId="65234EF2" w:rsidR="00FE09A3" w:rsidRPr="006520A7" w:rsidRDefault="00FE09A3" w:rsidP="00FE09A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241.389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0F04B3" w14:textId="7418C834" w:rsidR="00FE09A3" w:rsidRPr="006520A7" w:rsidRDefault="00FE09A3" w:rsidP="00FE09A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25,21%</w:t>
            </w:r>
          </w:p>
        </w:tc>
      </w:tr>
    </w:tbl>
    <w:p w14:paraId="60A2006C" w14:textId="77777777" w:rsidR="00AF67A7" w:rsidRDefault="00AF67A7" w:rsidP="0088170A">
      <w:pPr>
        <w:pStyle w:val="IJTextonormal"/>
      </w:pPr>
    </w:p>
    <w:p w14:paraId="707C33F0" w14:textId="77777777" w:rsidR="00440950" w:rsidRDefault="00440950" w:rsidP="0088170A">
      <w:pPr>
        <w:pStyle w:val="IJTextonormal"/>
      </w:pPr>
    </w:p>
    <w:p w14:paraId="7807DC0A" w14:textId="7E392ACF" w:rsidR="009E5B68" w:rsidRPr="00AF67A7" w:rsidRDefault="009E5B68" w:rsidP="0088170A">
      <w:pPr>
        <w:pStyle w:val="IJTextonormal"/>
        <w:rPr>
          <w:b/>
          <w:lang w:val="es-ES"/>
        </w:rPr>
      </w:pPr>
      <w:r w:rsidRPr="00AF67A7">
        <w:rPr>
          <w:b/>
        </w:rPr>
        <w:t>Información adicional</w:t>
      </w:r>
      <w:r w:rsidR="00AF67A7">
        <w:rPr>
          <w:b/>
        </w:rPr>
        <w:t>:</w:t>
      </w:r>
    </w:p>
    <w:p w14:paraId="60915A4D" w14:textId="77777777" w:rsidR="009E5B68" w:rsidRDefault="009E5B68" w:rsidP="0088170A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434220C0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5AEF4B5A" w14:textId="04415B2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2CC86B8E" w14:textId="77777777" w:rsidR="0003689A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  <w:r w:rsidRPr="00FB1FF6">
        <w:rPr>
          <w:b/>
          <w:color w:val="808080" w:themeColor="background1" w:themeShade="80"/>
          <w:sz w:val="18"/>
          <w:szCs w:val="16"/>
          <w:lang w:val="es-ES"/>
        </w:rPr>
        <w:t>Sobre InfoJobs:</w:t>
      </w:r>
    </w:p>
    <w:p w14:paraId="1FD2E3CE" w14:textId="77777777" w:rsidR="0003689A" w:rsidRPr="00FB1FF6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</w:p>
    <w:p w14:paraId="787A18AB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lastRenderedPageBreak/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F115938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5798B859" w14:textId="77777777" w:rsidR="0003689A" w:rsidRPr="00DE1C7A" w:rsidRDefault="000276BF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18E503AE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4CAD96B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1503A1F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4769F84B" w14:textId="5FED839A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4767347B" w14:textId="01589973" w:rsidR="0003689A" w:rsidRPr="006F3491" w:rsidRDefault="000276BF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03689A" w:rsidRPr="006F349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03689A" w:rsidRPr="006F3491">
        <w:rPr>
          <w:rFonts w:ascii="Arial" w:eastAsia="Calibri" w:hAnsi="Arial" w:cs="Arial"/>
          <w:color w:val="0563C1"/>
          <w:sz w:val="20"/>
          <w:szCs w:val="20"/>
        </w:rPr>
        <w:tab/>
      </w:r>
      <w:r w:rsidR="0003689A"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8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22" w:history="1">
        <w:r w:rsidR="0003689A" w:rsidRPr="00B03DD4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</w:p>
    <w:p w14:paraId="5D55275A" w14:textId="5947EEE7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 / 91 577 9272</w:t>
      </w:r>
    </w:p>
    <w:p w14:paraId="18A998B9" w14:textId="4C6A804A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18E95" w14:textId="77777777" w:rsidR="00F3598C" w:rsidRDefault="00F3598C" w:rsidP="00261775">
      <w:r>
        <w:separator/>
      </w:r>
    </w:p>
  </w:endnote>
  <w:endnote w:type="continuationSeparator" w:id="0">
    <w:p w14:paraId="33C25569" w14:textId="77777777" w:rsidR="00F3598C" w:rsidRDefault="00F3598C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A569" w14:textId="77777777" w:rsidR="000276BF" w:rsidRDefault="00027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BCE7" w14:textId="77777777" w:rsidR="00AD1504" w:rsidRDefault="00AD150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74A749" wp14:editId="504256F0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8AC5F" w14:textId="7D9B3640" w:rsidR="00AD1504" w:rsidRPr="00246D8D" w:rsidRDefault="00AD1504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76BF" w:rsidRPr="000276B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A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2668AC5F" w14:textId="7D9B3640" w:rsidR="00AD1504" w:rsidRPr="00246D8D" w:rsidRDefault="00AD1504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76BF" w:rsidRPr="000276BF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0EE4" w14:textId="77777777" w:rsidR="000276BF" w:rsidRDefault="00027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25D3" w14:textId="77777777" w:rsidR="00F3598C" w:rsidRDefault="00F3598C" w:rsidP="00261775">
      <w:r>
        <w:separator/>
      </w:r>
    </w:p>
  </w:footnote>
  <w:footnote w:type="continuationSeparator" w:id="0">
    <w:p w14:paraId="6AF3DF1D" w14:textId="77777777" w:rsidR="00F3598C" w:rsidRDefault="00F3598C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46CF" w14:textId="77777777" w:rsidR="000276BF" w:rsidRDefault="000276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13C8" w14:textId="7C08EB7D" w:rsidR="00AD1504" w:rsidRDefault="000276BF"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A6EEB3" wp14:editId="06506058">
              <wp:simplePos x="0" y="0"/>
              <wp:positionH relativeFrom="column">
                <wp:posOffset>1592249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E109B" w14:textId="77777777" w:rsidR="00AD1504" w:rsidRPr="00E667C6" w:rsidRDefault="00AD1504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A6EE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5.35pt;margin-top:-6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" filled="f" stroked="f">
              <v:textbox style="mso-fit-shape-to-text:t">
                <w:txbxContent>
                  <w:p w14:paraId="1C0E109B" w14:textId="77777777" w:rsidR="00AD1504" w:rsidRPr="00E667C6" w:rsidRDefault="00AD1504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2C756BB" wp14:editId="7D3F1CB5">
          <wp:simplePos x="0" y="0"/>
          <wp:positionH relativeFrom="margin">
            <wp:posOffset>0</wp:posOffset>
          </wp:positionH>
          <wp:positionV relativeFrom="paragraph">
            <wp:posOffset>-340967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D150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1394B4" wp14:editId="4E3C82D9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7DECC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CVOQqjhAAAA&#10;DQEAAA8AAAAAAAAAAAAAAAAACwUAAGRycy9kb3ducmV2LnhtbFBLBQYAAAAABAAEAPMAAAAZBgAA&#10;AAA=&#10;" fillcolor="#f2f2f2 [3052]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6022" w14:textId="77777777" w:rsidR="000276BF" w:rsidRDefault="000276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5F5"/>
    <w:rsid w:val="00025FEE"/>
    <w:rsid w:val="000275FF"/>
    <w:rsid w:val="000276B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0A21"/>
    <w:rsid w:val="00131CCA"/>
    <w:rsid w:val="00131E82"/>
    <w:rsid w:val="00133C7B"/>
    <w:rsid w:val="001351FE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3625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5402"/>
    <w:rsid w:val="00455E1F"/>
    <w:rsid w:val="004560C5"/>
    <w:rsid w:val="004567AB"/>
    <w:rsid w:val="004571E3"/>
    <w:rsid w:val="00457BB2"/>
    <w:rsid w:val="00460871"/>
    <w:rsid w:val="00462EB9"/>
    <w:rsid w:val="004646F5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30CE"/>
    <w:rsid w:val="004C3514"/>
    <w:rsid w:val="004C3AA7"/>
    <w:rsid w:val="004C5ACE"/>
    <w:rsid w:val="004D1A9E"/>
    <w:rsid w:val="004D4240"/>
    <w:rsid w:val="004D4D43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61A6"/>
    <w:rsid w:val="005A1FD9"/>
    <w:rsid w:val="005A22D4"/>
    <w:rsid w:val="005A25AF"/>
    <w:rsid w:val="005A34E9"/>
    <w:rsid w:val="005A3842"/>
    <w:rsid w:val="005A799C"/>
    <w:rsid w:val="005B1763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1973"/>
    <w:rsid w:val="00663D0D"/>
    <w:rsid w:val="006647B7"/>
    <w:rsid w:val="00665F84"/>
    <w:rsid w:val="00666E17"/>
    <w:rsid w:val="0067018A"/>
    <w:rsid w:val="00670A2C"/>
    <w:rsid w:val="006736E6"/>
    <w:rsid w:val="00675698"/>
    <w:rsid w:val="0067753A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E6C"/>
    <w:rsid w:val="006C17E1"/>
    <w:rsid w:val="006C2282"/>
    <w:rsid w:val="006C2EF1"/>
    <w:rsid w:val="006C4834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170A"/>
    <w:rsid w:val="008848A9"/>
    <w:rsid w:val="00884FCD"/>
    <w:rsid w:val="00890A19"/>
    <w:rsid w:val="00896521"/>
    <w:rsid w:val="00896A0F"/>
    <w:rsid w:val="008A0722"/>
    <w:rsid w:val="008A0B98"/>
    <w:rsid w:val="008A1F07"/>
    <w:rsid w:val="008A46AF"/>
    <w:rsid w:val="008A4EEE"/>
    <w:rsid w:val="008A51AA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E5F05"/>
    <w:rsid w:val="008F1758"/>
    <w:rsid w:val="008F35FE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46977"/>
    <w:rsid w:val="00950B16"/>
    <w:rsid w:val="00952E12"/>
    <w:rsid w:val="009562EC"/>
    <w:rsid w:val="0095727A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5E69"/>
    <w:rsid w:val="009A6DA8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0ED5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4F80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CA2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A7A"/>
    <w:rsid w:val="00D11932"/>
    <w:rsid w:val="00D1204D"/>
    <w:rsid w:val="00D13BF2"/>
    <w:rsid w:val="00D150DB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7E47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964E4"/>
    <w:rsid w:val="00DA001A"/>
    <w:rsid w:val="00DA52F9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535"/>
    <w:rsid w:val="00E7408F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0B5B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09A3"/>
    <w:rsid w:val="00FE1A66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57a5"/>
    </o:shapedefaults>
    <o:shapelayout v:ext="edit">
      <o:idmap v:ext="edit" data="1"/>
    </o:shapelayout>
  </w:shapeDefaults>
  <w:decimalSymbol w:val=","/>
  <w:listSeparator w:val=";"/>
  <w14:docId w14:val="626630C8"/>
  <w15:docId w15:val="{B0593483-AC72-47B8-8C4E-A661AB0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8170A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8170A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BB51-A447-41AC-A672-84D20268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20</TotalTime>
  <Pages>4</Pages>
  <Words>1076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Daniel.Martinez@hkstrategies.com</dc:creator>
  <cp:lastModifiedBy>Judith Monmany Escrigas</cp:lastModifiedBy>
  <cp:revision>4</cp:revision>
  <cp:lastPrinted>2018-01-09T17:11:00Z</cp:lastPrinted>
  <dcterms:created xsi:type="dcterms:W3CDTF">2018-03-12T13:30:00Z</dcterms:created>
  <dcterms:modified xsi:type="dcterms:W3CDTF">2018-03-13T09:02:00Z</dcterms:modified>
</cp:coreProperties>
</file>